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D4EE29">
      <w:pPr>
        <w:rPr>
          <w:rFonts w:eastAsia="仿宋_GB2312"/>
          <w:sz w:val="36"/>
          <w:szCs w:val="36"/>
        </w:rPr>
      </w:pPr>
      <w:r>
        <w:rPr>
          <w:rFonts w:hint="eastAsia" w:eastAsia="仿宋_GB2312"/>
          <w:sz w:val="36"/>
          <w:szCs w:val="36"/>
          <w:lang w:eastAsia="zh-CN"/>
        </w:rPr>
        <w:drawing>
          <wp:anchor distT="0" distB="0" distL="114300" distR="114300" simplePos="0" relativeHeight="251676672" behindDoc="0" locked="0" layoutInCell="1" allowOverlap="1">
            <wp:simplePos x="0" y="0"/>
            <wp:positionH relativeFrom="column">
              <wp:posOffset>-944880</wp:posOffset>
            </wp:positionH>
            <wp:positionV relativeFrom="paragraph">
              <wp:posOffset>-1034415</wp:posOffset>
            </wp:positionV>
            <wp:extent cx="7553960" cy="10692130"/>
            <wp:effectExtent l="0" t="0" r="8890" b="13970"/>
            <wp:wrapNone/>
            <wp:docPr id="72" name="图片 72" descr="申请环评批复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申请环评批复报告_05"/>
                    <pic:cNvPicPr>
                      <a:picLocks noChangeAspect="1"/>
                    </pic:cNvPicPr>
                  </pic:nvPicPr>
                  <pic:blipFill>
                    <a:blip r:embed="rId15"/>
                    <a:stretch>
                      <a:fillRect/>
                    </a:stretch>
                  </pic:blipFill>
                  <pic:spPr>
                    <a:xfrm>
                      <a:off x="0" y="0"/>
                      <a:ext cx="7553960" cy="10692130"/>
                    </a:xfrm>
                    <a:prstGeom prst="rect">
                      <a:avLst/>
                    </a:prstGeom>
                  </pic:spPr>
                </pic:pic>
              </a:graphicData>
            </a:graphic>
          </wp:anchor>
        </w:drawing>
      </w:r>
    </w:p>
    <w:p w14:paraId="413694A3">
      <w:pPr>
        <w:rPr>
          <w:rFonts w:hint="eastAsia" w:eastAsia="仿宋_GB2312"/>
          <w:sz w:val="36"/>
          <w:szCs w:val="36"/>
          <w:lang w:eastAsia="zh-CN"/>
        </w:rPr>
      </w:pPr>
    </w:p>
    <w:p w14:paraId="5969291B">
      <w:pPr>
        <w:rPr>
          <w:rFonts w:eastAsia="仿宋_GB2312"/>
          <w:sz w:val="36"/>
          <w:szCs w:val="36"/>
        </w:rPr>
      </w:pPr>
    </w:p>
    <w:p w14:paraId="74ACF012">
      <w:pPr>
        <w:rPr>
          <w:rFonts w:eastAsia="仿宋_GB2312"/>
          <w:sz w:val="36"/>
          <w:szCs w:val="36"/>
        </w:rPr>
      </w:pPr>
    </w:p>
    <w:p w14:paraId="6ADDC843">
      <w:pPr>
        <w:spacing w:line="240" w:lineRule="auto"/>
        <w:ind w:firstLine="0" w:firstLineChars="0"/>
        <w:jc w:val="center"/>
        <w:rPr>
          <w:rFonts w:ascii="方正小标宋_GBK" w:hAnsi="方正小标宋_GBK" w:eastAsia="方正小标宋_GBK" w:cs="方正小标宋_GBK"/>
          <w:sz w:val="72"/>
          <w:szCs w:val="72"/>
        </w:rPr>
      </w:pPr>
      <w:r>
        <w:rPr>
          <w:rFonts w:hint="eastAsia" w:ascii="方正小标宋_GBK" w:hAnsi="方正小标宋_GBK" w:eastAsia="方正小标宋_GBK" w:cs="方正小标宋_GBK"/>
          <w:sz w:val="72"/>
          <w:szCs w:val="72"/>
        </w:rPr>
        <w:t>建设项目环境影响报告表</w:t>
      </w:r>
    </w:p>
    <w:p w14:paraId="40FC1796">
      <w:pPr>
        <w:spacing w:before="192" w:beforeLines="80"/>
        <w:ind w:firstLine="0" w:firstLineChars="0"/>
        <w:jc w:val="center"/>
        <w:rPr>
          <w:rFonts w:ascii="楷体_GB2312" w:hAnsi="楷体_GB2312" w:eastAsia="楷体_GB2312" w:cs="楷体_GB2312"/>
          <w:sz w:val="48"/>
          <w:szCs w:val="48"/>
        </w:rPr>
      </w:pPr>
      <w:r>
        <w:rPr>
          <w:rFonts w:hint="eastAsia" w:ascii="楷体_GB2312" w:hAnsi="楷体_GB2312" w:eastAsia="楷体_GB2312" w:cs="楷体_GB2312"/>
          <w:sz w:val="48"/>
          <w:szCs w:val="48"/>
        </w:rPr>
        <w:t>（污染影响类）</w:t>
      </w:r>
    </w:p>
    <w:p w14:paraId="6E5B28DA">
      <w:pPr>
        <w:ind w:firstLine="1040"/>
        <w:jc w:val="center"/>
        <w:rPr>
          <w:rFonts w:eastAsia="仿宋"/>
          <w:sz w:val="52"/>
          <w:szCs w:val="52"/>
        </w:rPr>
      </w:pPr>
    </w:p>
    <w:p w14:paraId="2338E9AA">
      <w:pPr>
        <w:ind w:firstLine="1040"/>
        <w:jc w:val="center"/>
        <w:rPr>
          <w:rFonts w:eastAsia="仿宋"/>
          <w:sz w:val="52"/>
          <w:szCs w:val="52"/>
        </w:rPr>
      </w:pPr>
    </w:p>
    <w:p w14:paraId="21F57A52">
      <w:pPr>
        <w:ind w:firstLine="0" w:firstLineChars="0"/>
        <w:rPr>
          <w:rFonts w:eastAsia="仿宋"/>
          <w:sz w:val="44"/>
          <w:szCs w:val="44"/>
        </w:rPr>
      </w:pPr>
    </w:p>
    <w:p w14:paraId="78D07DF6">
      <w:pPr>
        <w:ind w:firstLine="0" w:firstLineChars="0"/>
      </w:pPr>
    </w:p>
    <w:p w14:paraId="49C3CFCD">
      <w:pPr>
        <w:adjustRightInd w:val="0"/>
        <w:snapToGrid w:val="0"/>
        <w:spacing w:line="288" w:lineRule="auto"/>
        <w:ind w:firstLine="0" w:firstLineChars="0"/>
        <w:rPr>
          <w:rFonts w:eastAsia="仿宋_GB2312"/>
          <w:sz w:val="36"/>
          <w:szCs w:val="36"/>
        </w:rPr>
      </w:pPr>
    </w:p>
    <w:p w14:paraId="38DC6533">
      <w:pPr>
        <w:rPr>
          <w:rFonts w:ascii="仿宋" w:hAnsi="仿宋" w:eastAsia="仿宋" w:cs="仿宋"/>
          <w:sz w:val="36"/>
          <w:szCs w:val="36"/>
          <w:u w:val="single"/>
        </w:rPr>
      </w:pPr>
      <w:r>
        <w:rPr>
          <w:rFonts w:hint="eastAsia" w:ascii="仿宋" w:hAnsi="仿宋" w:eastAsia="仿宋" w:cs="仿宋"/>
          <w:sz w:val="36"/>
          <w:szCs w:val="36"/>
        </w:rPr>
        <w:t>项目名称：</w:t>
      </w:r>
      <w:r>
        <w:rPr>
          <w:rFonts w:hint="eastAsia" w:ascii="仿宋" w:hAnsi="仿宋" w:eastAsia="仿宋" w:cs="仿宋"/>
          <w:sz w:val="36"/>
          <w:szCs w:val="36"/>
          <w:u w:val="single"/>
        </w:rPr>
        <w:t>福建省迈客邦建材有限公司</w:t>
      </w:r>
    </w:p>
    <w:p w14:paraId="75238FFF">
      <w:pPr>
        <w:ind w:firstLine="2520" w:firstLineChars="700"/>
        <w:rPr>
          <w:rFonts w:ascii="仿宋" w:hAnsi="仿宋" w:eastAsia="仿宋" w:cs="仿宋"/>
          <w:sz w:val="36"/>
          <w:szCs w:val="36"/>
          <w:u w:val="single"/>
        </w:rPr>
      </w:pPr>
      <w:r>
        <w:rPr>
          <w:rFonts w:hint="eastAsia" w:ascii="仿宋" w:hAnsi="仿宋" w:eastAsia="仿宋" w:cs="仿宋"/>
          <w:sz w:val="36"/>
          <w:szCs w:val="36"/>
          <w:u w:val="single"/>
        </w:rPr>
        <w:t>年产30000吨干粉砂浆项目</w:t>
      </w:r>
    </w:p>
    <w:p w14:paraId="6F700609">
      <w:pPr>
        <w:widowControl/>
        <w:jc w:val="left"/>
        <w:rPr>
          <w:rFonts w:ascii="仿宋" w:hAnsi="仿宋" w:eastAsia="仿宋" w:cs="仿宋"/>
          <w:sz w:val="36"/>
          <w:szCs w:val="36"/>
        </w:rPr>
      </w:pPr>
      <w:r>
        <w:rPr>
          <w:rFonts w:hint="eastAsia" w:ascii="仿宋" w:hAnsi="仿宋" w:eastAsia="仿宋" w:cs="仿宋"/>
          <w:sz w:val="36"/>
          <w:szCs w:val="36"/>
        </w:rPr>
        <w:t>建设单位（盖章）：</w:t>
      </w:r>
      <w:r>
        <w:rPr>
          <w:rFonts w:hint="eastAsia" w:ascii="仿宋" w:hAnsi="仿宋" w:eastAsia="仿宋" w:cs="仿宋"/>
          <w:sz w:val="36"/>
          <w:szCs w:val="36"/>
          <w:u w:val="single"/>
        </w:rPr>
        <w:t>福建省迈客邦建材有限公司</w:t>
      </w:r>
    </w:p>
    <w:p w14:paraId="554646F3">
      <w:pPr>
        <w:rPr>
          <w:sz w:val="36"/>
          <w:szCs w:val="36"/>
        </w:rPr>
      </w:pPr>
      <w:r>
        <w:rPr>
          <w:rFonts w:hint="eastAsia" w:ascii="仿宋" w:hAnsi="仿宋" w:eastAsia="仿宋" w:cs="仿宋"/>
          <w:sz w:val="36"/>
          <w:szCs w:val="36"/>
        </w:rPr>
        <w:t>编制日期：</w:t>
      </w:r>
      <w:r>
        <w:rPr>
          <w:rFonts w:hint="eastAsia" w:ascii="仿宋_GB2312" w:eastAsia="仿宋_GB2312"/>
          <w:sz w:val="36"/>
          <w:szCs w:val="36"/>
          <w:u w:val="single"/>
        </w:rPr>
        <w:t>二〇二六年</w:t>
      </w:r>
      <w:r>
        <w:rPr>
          <w:rFonts w:hint="eastAsia" w:eastAsia="仿宋"/>
          <w:sz w:val="36"/>
          <w:szCs w:val="36"/>
          <w:u w:val="single"/>
          <w:lang w:eastAsia="zh-CN"/>
        </w:rPr>
        <w:t>二</w:t>
      </w:r>
      <w:r>
        <w:rPr>
          <w:rFonts w:eastAsia="仿宋"/>
          <w:sz w:val="36"/>
          <w:szCs w:val="36"/>
          <w:u w:val="single"/>
        </w:rPr>
        <w:t>月</w:t>
      </w:r>
    </w:p>
    <w:p w14:paraId="32DC7DEE">
      <w:pPr>
        <w:adjustRightInd w:val="0"/>
        <w:snapToGrid w:val="0"/>
        <w:spacing w:line="288" w:lineRule="auto"/>
        <w:ind w:firstLine="0" w:firstLineChars="0"/>
        <w:rPr>
          <w:rFonts w:eastAsia="仿宋_GB2312"/>
          <w:sz w:val="36"/>
          <w:szCs w:val="36"/>
        </w:rPr>
      </w:pPr>
      <w:bookmarkStart w:id="0" w:name="_Hlk57884087"/>
    </w:p>
    <w:p w14:paraId="2D15470F">
      <w:pPr>
        <w:pStyle w:val="29"/>
        <w:ind w:left="0" w:leftChars="0" w:firstLine="0" w:firstLineChars="0"/>
        <w:rPr>
          <w:rFonts w:eastAsia="仿宋_GB2312"/>
          <w:sz w:val="36"/>
          <w:szCs w:val="36"/>
        </w:rPr>
      </w:pPr>
    </w:p>
    <w:p w14:paraId="18512307">
      <w:pPr>
        <w:pStyle w:val="28"/>
        <w:ind w:firstLine="280"/>
      </w:pPr>
    </w:p>
    <w:bookmarkEnd w:id="0"/>
    <w:p w14:paraId="3B203C69">
      <w:pPr>
        <w:adjustRightInd w:val="0"/>
        <w:snapToGrid w:val="0"/>
        <w:spacing w:line="288" w:lineRule="auto"/>
        <w:ind w:firstLine="0" w:firstLineChars="0"/>
        <w:jc w:val="center"/>
        <w:rPr>
          <w:rFonts w:ascii="楷体_GB2312" w:eastAsia="楷体_GB2312"/>
          <w:sz w:val="36"/>
          <w:szCs w:val="36"/>
        </w:rPr>
      </w:pPr>
      <w:r>
        <w:rPr>
          <w:rFonts w:hint="eastAsia" w:ascii="楷体_GB2312" w:eastAsia="楷体_GB2312"/>
          <w:sz w:val="36"/>
          <w:szCs w:val="36"/>
        </w:rPr>
        <w:t>中华人民共和国生态环境部制</w:t>
      </w:r>
    </w:p>
    <w:p w14:paraId="1FAAD2F3">
      <w:pPr>
        <w:adjustRightInd w:val="0"/>
        <w:snapToGrid w:val="0"/>
        <w:spacing w:line="288" w:lineRule="auto"/>
        <w:rPr>
          <w:rFonts w:eastAsia="仿宋_GB2312"/>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701" w:right="1531" w:bottom="1701" w:left="1531" w:header="851" w:footer="1077" w:gutter="0"/>
          <w:pgNumType w:start="3"/>
          <w:cols w:space="720" w:num="1"/>
          <w:docGrid w:linePitch="312" w:charSpace="0"/>
        </w:sectPr>
      </w:pPr>
    </w:p>
    <w:p w14:paraId="670227F1">
      <w:pPr>
        <w:ind w:firstLine="0" w:firstLineChars="0"/>
        <w:jc w:val="center"/>
        <w:rPr>
          <w:rFonts w:hint="eastAsia" w:ascii="黑体" w:hAnsi="黑体" w:eastAsia="黑体" w:cs="黑体"/>
          <w:sz w:val="32"/>
          <w:szCs w:val="32"/>
          <w:lang w:eastAsia="zh-CN"/>
        </w:rPr>
        <w:sectPr>
          <w:footerReference r:id="rId11" w:type="default"/>
          <w:pgSz w:w="11906" w:h="16838"/>
          <w:pgMar w:top="1701" w:right="1531" w:bottom="1701" w:left="1531" w:header="851" w:footer="1077" w:gutter="0"/>
          <w:pgNumType w:start="1"/>
          <w:cols w:space="720" w:num="1"/>
          <w:docGrid w:linePitch="312" w:charSpace="0"/>
        </w:sectPr>
      </w:pPr>
      <w:r>
        <w:rPr>
          <w:rFonts w:hint="eastAsia" w:ascii="黑体" w:hAnsi="黑体" w:eastAsia="黑体" w:cs="黑体"/>
          <w:sz w:val="32"/>
          <w:szCs w:val="32"/>
          <w:lang w:eastAsia="zh-CN"/>
        </w:rPr>
        <w:drawing>
          <wp:anchor distT="0" distB="0" distL="114300" distR="114300" simplePos="0" relativeHeight="251664384" behindDoc="0" locked="0" layoutInCell="1" allowOverlap="1">
            <wp:simplePos x="0" y="0"/>
            <wp:positionH relativeFrom="column">
              <wp:posOffset>-954405</wp:posOffset>
            </wp:positionH>
            <wp:positionV relativeFrom="paragraph">
              <wp:posOffset>-1057275</wp:posOffset>
            </wp:positionV>
            <wp:extent cx="7560945" cy="10692130"/>
            <wp:effectExtent l="0" t="0" r="1905" b="13970"/>
            <wp:wrapNone/>
            <wp:docPr id="51" name="图片 51" descr="编制情况承诺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编制情况承诺书_01"/>
                    <pic:cNvPicPr>
                      <a:picLocks noChangeAspect="1"/>
                    </pic:cNvPicPr>
                  </pic:nvPicPr>
                  <pic:blipFill>
                    <a:blip r:embed="rId16"/>
                    <a:stretch>
                      <a:fillRect/>
                    </a:stretch>
                  </pic:blipFill>
                  <pic:spPr>
                    <a:xfrm>
                      <a:off x="0" y="0"/>
                      <a:ext cx="7560945" cy="10692130"/>
                    </a:xfrm>
                    <a:prstGeom prst="rect">
                      <a:avLst/>
                    </a:prstGeom>
                  </pic:spPr>
                </pic:pic>
              </a:graphicData>
            </a:graphic>
          </wp:anchor>
        </w:drawing>
      </w:r>
    </w:p>
    <w:p w14:paraId="7B783522">
      <w:pPr>
        <w:ind w:firstLine="0" w:firstLineChars="0"/>
        <w:jc w:val="center"/>
        <w:rPr>
          <w:rFonts w:hint="eastAsia" w:ascii="黑体" w:hAnsi="黑体" w:eastAsia="黑体" w:cs="黑体"/>
          <w:sz w:val="32"/>
          <w:szCs w:val="32"/>
          <w:lang w:eastAsia="zh-CN"/>
        </w:rPr>
        <w:sectPr>
          <w:pgSz w:w="11906" w:h="16838"/>
          <w:pgMar w:top="1701" w:right="1531" w:bottom="1701" w:left="1531" w:header="851" w:footer="1077" w:gutter="0"/>
          <w:pgNumType w:start="1"/>
          <w:cols w:space="720" w:num="1"/>
          <w:docGrid w:linePitch="312" w:charSpace="0"/>
        </w:sectPr>
      </w:pPr>
      <w:r>
        <w:rPr>
          <w:rFonts w:hint="eastAsia" w:ascii="黑体" w:hAnsi="黑体" w:eastAsia="黑体" w:cs="黑体"/>
          <w:sz w:val="32"/>
          <w:szCs w:val="32"/>
          <w:lang w:eastAsia="zh-CN"/>
        </w:rPr>
        <w:drawing>
          <wp:anchor distT="0" distB="0" distL="114300" distR="114300" simplePos="0" relativeHeight="251670528" behindDoc="0" locked="0" layoutInCell="1" allowOverlap="1">
            <wp:simplePos x="0" y="0"/>
            <wp:positionH relativeFrom="column">
              <wp:posOffset>-944880</wp:posOffset>
            </wp:positionH>
            <wp:positionV relativeFrom="paragraph">
              <wp:posOffset>-1066800</wp:posOffset>
            </wp:positionV>
            <wp:extent cx="7558405" cy="10692130"/>
            <wp:effectExtent l="0" t="0" r="4445" b="13970"/>
            <wp:wrapNone/>
            <wp:docPr id="63" name="图片 63" descr="2026022710080146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60227100801466_01"/>
                    <pic:cNvPicPr>
                      <a:picLocks noChangeAspect="1"/>
                    </pic:cNvPicPr>
                  </pic:nvPicPr>
                  <pic:blipFill>
                    <a:blip r:embed="rId17"/>
                    <a:stretch>
                      <a:fillRect/>
                    </a:stretch>
                  </pic:blipFill>
                  <pic:spPr>
                    <a:xfrm>
                      <a:off x="0" y="0"/>
                      <a:ext cx="7558405" cy="10692130"/>
                    </a:xfrm>
                    <a:prstGeom prst="rect">
                      <a:avLst/>
                    </a:prstGeom>
                  </pic:spPr>
                </pic:pic>
              </a:graphicData>
            </a:graphic>
          </wp:anchor>
        </w:drawing>
      </w:r>
    </w:p>
    <w:p w14:paraId="1DA77559">
      <w:pPr>
        <w:pStyle w:val="2"/>
        <w:rPr>
          <w:rFonts w:hint="eastAsia"/>
        </w:rPr>
        <w:sectPr>
          <w:pgSz w:w="11906" w:h="16838"/>
          <w:pgMar w:top="1701" w:right="1531" w:bottom="1701" w:left="1531" w:header="851" w:footer="1077" w:gutter="0"/>
          <w:pgNumType w:start="1"/>
          <w:cols w:space="720" w:num="1"/>
          <w:docGrid w:linePitch="312" w:charSpace="0"/>
        </w:sectPr>
      </w:pPr>
      <w:r>
        <w:rPr>
          <w:rFonts w:ascii="Times New Roman" w:hAnsi="Times New Roman" w:eastAsia="宋体" w:cs="Times New Roman"/>
          <w:sz w:val="24"/>
        </w:rPr>
        <mc:AlternateContent>
          <mc:Choice Requires="wpg">
            <w:drawing>
              <wp:anchor distT="0" distB="0" distL="114300" distR="114300" simplePos="0" relativeHeight="251666432" behindDoc="0" locked="0" layoutInCell="1" allowOverlap="1">
                <wp:simplePos x="0" y="0"/>
                <wp:positionH relativeFrom="column">
                  <wp:posOffset>-716915</wp:posOffset>
                </wp:positionH>
                <wp:positionV relativeFrom="paragraph">
                  <wp:posOffset>1137285</wp:posOffset>
                </wp:positionV>
                <wp:extent cx="7042150" cy="5021580"/>
                <wp:effectExtent l="0" t="0" r="0" b="0"/>
                <wp:wrapNone/>
                <wp:docPr id="59" name="组合 59"/>
                <wp:cNvGraphicFramePr/>
                <a:graphic xmlns:a="http://schemas.openxmlformats.org/drawingml/2006/main">
                  <a:graphicData uri="http://schemas.microsoft.com/office/word/2010/wordprocessingGroup">
                    <wpg:wgp>
                      <wpg:cNvGrpSpPr/>
                      <wpg:grpSpPr>
                        <a:xfrm>
                          <a:off x="0" y="0"/>
                          <a:ext cx="7042150" cy="5021580"/>
                          <a:chOff x="8120" y="56617"/>
                          <a:chExt cx="11090" cy="7908"/>
                        </a:xfrm>
                      </wpg:grpSpPr>
                      <wps:wsp>
                        <wps:cNvPr id="53" name="文本框 53"/>
                        <wps:cNvSpPr txBox="1"/>
                        <wps:spPr>
                          <a:xfrm rot="-1320000">
                            <a:off x="8120" y="56617"/>
                            <a:ext cx="11000" cy="2208"/>
                          </a:xfrm>
                          <a:prstGeom prst="rect">
                            <a:avLst/>
                          </a:prstGeom>
                          <a:noFill/>
                          <a:ln w="6350">
                            <a:noFill/>
                          </a:ln>
                        </wps:spPr>
                        <wps:txbx>
                          <w:txbxContent>
                            <w:p w14:paraId="10B8AA8C">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2D016485">
                              <w:pPr>
                                <w:rPr>
                                  <w:rFonts w:hint="eastAsia" w:ascii="Times New Roman" w:hAnsi="Times New Roman" w:eastAsia="宋体" w:cs="Times New Roman"/>
                                  <w:lang w:val="en-US" w:eastAsia="zh-CN"/>
                                </w:rPr>
                              </w:pPr>
                            </w:p>
                          </w:txbxContent>
                        </wps:txbx>
                        <wps:bodyPr upright="0">
                          <a:spAutoFit/>
                        </wps:bodyPr>
                      </wps:wsp>
                      <wps:wsp>
                        <wps:cNvPr id="58" name="文本框 58"/>
                        <wps:cNvSpPr txBox="1"/>
                        <wps:spPr>
                          <a:xfrm rot="-1320000">
                            <a:off x="8210" y="62317"/>
                            <a:ext cx="11000" cy="2208"/>
                          </a:xfrm>
                          <a:prstGeom prst="rect">
                            <a:avLst/>
                          </a:prstGeom>
                          <a:noFill/>
                          <a:ln w="6350">
                            <a:noFill/>
                          </a:ln>
                        </wps:spPr>
                        <wps:txbx>
                          <w:txbxContent>
                            <w:p w14:paraId="3953B2E1">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1BA101B5">
                              <w:pPr>
                                <w:rPr>
                                  <w:rFonts w:hint="eastAsia" w:ascii="Times New Roman" w:hAnsi="Times New Roman" w:eastAsia="宋体" w:cs="Times New Roman"/>
                                  <w:lang w:val="en-US" w:eastAsia="zh-CN"/>
                                </w:rPr>
                              </w:pPr>
                            </w:p>
                          </w:txbxContent>
                        </wps:txbx>
                        <wps:bodyPr upright="0">
                          <a:spAutoFit/>
                        </wps:bodyPr>
                      </wps:wsp>
                    </wpg:wgp>
                  </a:graphicData>
                </a:graphic>
              </wp:anchor>
            </w:drawing>
          </mc:Choice>
          <mc:Fallback>
            <w:pict>
              <v:group id="_x0000_s1026" o:spid="_x0000_s1026" o:spt="203" style="position:absolute;left:0pt;margin-left:-56.45pt;margin-top:89.55pt;height:395.4pt;width:554.5pt;z-index:251666432;mso-width-relative:page;mso-height-relative:page;" coordorigin="8120,56617" coordsize="11090,7908" o:gfxdata="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eE6Pt2gAAAAwBAAAPAAAAAAAAAAEAIAAAACIAAABkcnMvZG93bnJldi54bWxQSwEC&#10;FAAUAAAACACHTuJAOVFXEWQCAABhBgAADgAAAAAAAAABACAAAAApAQAAZHJzL2Uyb0RvYy54bWxQ&#10;SwUGAAAAAAYABgBZAQAA/wUAAAAA&#10;">
                <o:lock v:ext="edit" aspectratio="f"/>
                <v:shape id="_x0000_s1026" o:spid="_x0000_s1026" o:spt="202" type="#_x0000_t202" style="position:absolute;left:8120;top:56617;height:2208;width:11000;rotation:-1441792f;" filled="f" stroked="f" coordsize="21600,21600" o:gfxdata="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Z+/b4A&#10;AADbAAAADwAAAAAAAAABACAAAAAiAAAAZHJzL2Rvd25yZXYueG1sUEsBAhQAFAAAAAgAh07iQDMv&#10;BZ47AAAAOQAAABAAAAAAAAAAAQAgAAAADQEAAGRycy9zaGFwZXhtbC54bWxQSwUGAAAAAAYABgBb&#10;AQAAtwMAAAAA&#10;">
                  <v:fill on="f" focussize="0,0"/>
                  <v:stroke on="f" weight="0.5pt"/>
                  <v:imagedata o:title=""/>
                  <o:lock v:ext="edit" aspectratio="f"/>
                  <v:textbox style="mso-fit-shape-to-text:t;">
                    <w:txbxContent>
                      <w:p w14:paraId="10B8AA8C">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2D016485">
                        <w:pPr>
                          <w:rPr>
                            <w:rFonts w:hint="eastAsia" w:ascii="Times New Roman" w:hAnsi="Times New Roman" w:eastAsia="宋体" w:cs="Times New Roman"/>
                            <w:lang w:val="en-US" w:eastAsia="zh-CN"/>
                          </w:rPr>
                        </w:pPr>
                      </w:p>
                    </w:txbxContent>
                  </v:textbox>
                </v:shape>
                <v:shape id="_x0000_s1026" o:spid="_x0000_s1026" o:spt="202" type="#_x0000_t202" style="position:absolute;left:8210;top:62317;height:2208;width:11000;rotation:-1441792f;" filled="f" stroked="f" coordsize="21600,21600" o:gfxdata="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hLsjLgAAADbAAAA&#10;DwAAAAAAAAABACAAAAAiAAAAZHJzL2Rvd25yZXYueG1sUEsBAhQAFAAAAAgAh07iQDMvBZ47AAAA&#10;OQAAABAAAAAAAAAAAQAgAAAABwEAAGRycy9zaGFwZXhtbC54bWxQSwUGAAAAAAYABgBbAQAAsQMA&#10;AAAA&#10;">
                  <v:fill on="f" focussize="0,0"/>
                  <v:stroke on="f" weight="0.5pt"/>
                  <v:imagedata o:title=""/>
                  <o:lock v:ext="edit" aspectratio="f"/>
                  <v:textbox style="mso-fit-shape-to-text:t;">
                    <w:txbxContent>
                      <w:p w14:paraId="3953B2E1">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1BA101B5">
                        <w:pPr>
                          <w:rPr>
                            <w:rFonts w:hint="eastAsia" w:ascii="Times New Roman" w:hAnsi="Times New Roman" w:eastAsia="宋体" w:cs="Times New Roman"/>
                            <w:lang w:val="en-US" w:eastAsia="zh-CN"/>
                          </w:rPr>
                        </w:pPr>
                      </w:p>
                    </w:txbxContent>
                  </v:textbox>
                </v:shape>
              </v:group>
            </w:pict>
          </mc:Fallback>
        </mc:AlternateContent>
      </w:r>
      <w:r>
        <w:rPr>
          <w:rFonts w:hint="eastAsia" w:eastAsia="宋体"/>
          <w:lang w:eastAsia="zh-CN"/>
        </w:rPr>
        <w:drawing>
          <wp:anchor distT="0" distB="0" distL="114300" distR="114300" simplePos="0" relativeHeight="251665408" behindDoc="0" locked="0" layoutInCell="1" allowOverlap="1">
            <wp:simplePos x="0" y="0"/>
            <wp:positionH relativeFrom="column">
              <wp:posOffset>-990600</wp:posOffset>
            </wp:positionH>
            <wp:positionV relativeFrom="paragraph">
              <wp:posOffset>-1063625</wp:posOffset>
            </wp:positionV>
            <wp:extent cx="7561580" cy="10694670"/>
            <wp:effectExtent l="0" t="0" r="1270" b="11430"/>
            <wp:wrapNone/>
            <wp:docPr id="52" name="图片 72" descr="（打印稿）福建中医药大学附属人民医院仓山院区（国家中医疫病防治基地）环境影响报告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2" descr="（打印稿）福建中医药大学附属人民医院仓山院区（国家中医疫病防治基地）环境影响报告表_03"/>
                    <pic:cNvPicPr>
                      <a:picLocks noChangeAspect="1"/>
                    </pic:cNvPicPr>
                  </pic:nvPicPr>
                  <pic:blipFill>
                    <a:blip r:embed="rId18"/>
                    <a:stretch>
                      <a:fillRect/>
                    </a:stretch>
                  </pic:blipFill>
                  <pic:spPr>
                    <a:xfrm>
                      <a:off x="0" y="0"/>
                      <a:ext cx="7561580" cy="10694670"/>
                    </a:xfrm>
                    <a:prstGeom prst="rect">
                      <a:avLst/>
                    </a:prstGeom>
                    <a:noFill/>
                    <a:ln>
                      <a:noFill/>
                    </a:ln>
                  </pic:spPr>
                </pic:pic>
              </a:graphicData>
            </a:graphic>
          </wp:anchor>
        </w:drawing>
      </w:r>
    </w:p>
    <w:p w14:paraId="04780736">
      <w:pPr>
        <w:ind w:firstLine="0" w:firstLineChars="0"/>
        <w:jc w:val="center"/>
        <w:rPr>
          <w:rFonts w:hint="eastAsia" w:ascii="黑体" w:hAnsi="黑体" w:eastAsia="黑体" w:cs="黑体"/>
          <w:sz w:val="32"/>
          <w:szCs w:val="32"/>
        </w:rPr>
        <w:sectPr>
          <w:pgSz w:w="11906" w:h="16838"/>
          <w:pgMar w:top="1701" w:right="1531" w:bottom="1701" w:left="1531" w:header="851" w:footer="1077" w:gutter="0"/>
          <w:pgNumType w:start="1"/>
          <w:cols w:space="720" w:num="1"/>
          <w:docGrid w:linePitch="312" w:charSpace="0"/>
        </w:sectPr>
      </w:pPr>
      <w:r>
        <w:rPr>
          <w:sz w:val="24"/>
        </w:rPr>
        <mc:AlternateContent>
          <mc:Choice Requires="wps">
            <w:drawing>
              <wp:anchor distT="0" distB="0" distL="114300" distR="114300" simplePos="0" relativeHeight="251668480" behindDoc="0" locked="0" layoutInCell="1" allowOverlap="1">
                <wp:simplePos x="0" y="0"/>
                <wp:positionH relativeFrom="column">
                  <wp:posOffset>-128905</wp:posOffset>
                </wp:positionH>
                <wp:positionV relativeFrom="paragraph">
                  <wp:posOffset>-326390</wp:posOffset>
                </wp:positionV>
                <wp:extent cx="638175" cy="8073390"/>
                <wp:effectExtent l="0" t="0" r="9525" b="3810"/>
                <wp:wrapNone/>
                <wp:docPr id="62" name="矩形 62"/>
                <wp:cNvGraphicFramePr/>
                <a:graphic xmlns:a="http://schemas.openxmlformats.org/drawingml/2006/main">
                  <a:graphicData uri="http://schemas.microsoft.com/office/word/2010/wordprocessingShape">
                    <wps:wsp>
                      <wps:cNvSpPr/>
                      <wps:spPr>
                        <a:xfrm>
                          <a:off x="0" y="0"/>
                          <a:ext cx="638175" cy="8073390"/>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10.15pt;margin-top:-25.7pt;height:635.7pt;width:50.25pt;z-index:251668480;mso-width-relative:page;mso-height-relative:page;" fillcolor="#FFFFFF" filled="t" stroked="f" coordsize="21600,21600" o:gfxdata="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uF1jzYAAAACwEAAA8AAAAAAAAAAQAgAAAAIgAAAGRycy9kb3ducmV2LnhtbFBLAQIUABQAAAAI&#10;AIdO4kCWHgEctAEAAGEDAAAOAAAAAAAAAAEAIAAAACcBAABkcnMvZTJvRG9jLnhtbFBLBQYAAAAA&#10;BgAGAFkBAABNBQAAAAA=&#10;">
                <v:fill on="t" focussize="0,0"/>
                <v:stroke on="f"/>
                <v:imagedata o:title=""/>
                <o:lock v:ext="edit" aspectratio="f"/>
              </v:rect>
            </w:pict>
          </mc:Fallback>
        </mc:AlternateContent>
      </w:r>
      <w:r>
        <w:rPr>
          <w:rFonts w:ascii="Times New Roman" w:hAnsi="Times New Roman" w:cs="Times New Roman"/>
        </w:rPr>
        <mc:AlternateContent>
          <mc:Choice Requires="wps">
            <w:drawing>
              <wp:anchor distT="0" distB="0" distL="114300" distR="114300" simplePos="0" relativeHeight="251669504" behindDoc="0" locked="0" layoutInCell="1" allowOverlap="1">
                <wp:simplePos x="0" y="0"/>
                <wp:positionH relativeFrom="column">
                  <wp:posOffset>-428625</wp:posOffset>
                </wp:positionH>
                <wp:positionV relativeFrom="paragraph">
                  <wp:posOffset>2400300</wp:posOffset>
                </wp:positionV>
                <wp:extent cx="6985000" cy="1402080"/>
                <wp:effectExtent l="0" t="0" r="0" b="0"/>
                <wp:wrapNone/>
                <wp:docPr id="61" name="文本框 61"/>
                <wp:cNvGraphicFramePr/>
                <a:graphic xmlns:a="http://schemas.openxmlformats.org/drawingml/2006/main">
                  <a:graphicData uri="http://schemas.microsoft.com/office/word/2010/wordprocessingShape">
                    <wps:wsp>
                      <wps:cNvSpPr txBox="1"/>
                      <wps:spPr>
                        <a:xfrm rot="-1320000">
                          <a:off x="312420" y="5836920"/>
                          <a:ext cx="6985000" cy="1402080"/>
                        </a:xfrm>
                        <a:prstGeom prst="rect">
                          <a:avLst/>
                        </a:prstGeom>
                        <a:noFill/>
                        <a:ln w="6350">
                          <a:noFill/>
                        </a:ln>
                      </wps:spPr>
                      <wps:txbx>
                        <w:txbxContent>
                          <w:p w14:paraId="2D7F5127">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30804B05">
                            <w:pPr>
                              <w:rPr>
                                <w:rFonts w:hint="eastAsia" w:ascii="Times New Roman" w:hAnsi="Times New Roman" w:eastAsia="宋体" w:cs="Times New Roman"/>
                                <w:lang w:val="en-US" w:eastAsia="zh-CN"/>
                              </w:rPr>
                            </w:pPr>
                          </w:p>
                        </w:txbxContent>
                      </wps:txbx>
                      <wps:bodyPr upright="0">
                        <a:spAutoFit/>
                      </wps:bodyPr>
                    </wps:wsp>
                  </a:graphicData>
                </a:graphic>
              </wp:anchor>
            </w:drawing>
          </mc:Choice>
          <mc:Fallback>
            <w:pict>
              <v:shape id="_x0000_s1026" o:spid="_x0000_s1026" o:spt="202" type="#_x0000_t202" style="position:absolute;left:0pt;margin-left:-33.75pt;margin-top:189pt;height:110.4pt;width:550pt;rotation:-1441792f;z-index:251669504;mso-width-relative:page;mso-height-relative:page;" filled="f" stroked="f" coordsize="21600,21600" o:gfxdata="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CCjWJ3bAAAADAEAAA8AAAAA&#10;AAAAAQAgAAAAIgAAAGRycy9kb3ducmV2LnhtbFBLAQIUABQAAAAIAIdO4kBYtkmD2AEAAI4DAAAO&#10;AAAAAAAAAAEAIAAAACoBAABkcnMvZTJvRG9jLnhtbFBLBQYAAAAABgAGAFkBAAB0BQAAAAA=&#10;">
                <v:fill on="f" focussize="0,0"/>
                <v:stroke on="f" weight="0.5pt"/>
                <v:imagedata o:title=""/>
                <o:lock v:ext="edit" aspectratio="f"/>
                <v:textbox style="mso-fit-shape-to-text:t;">
                  <w:txbxContent>
                    <w:p w14:paraId="2D7F5127">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30804B05">
                      <w:pPr>
                        <w:rPr>
                          <w:rFonts w:hint="eastAsia" w:ascii="Times New Roman" w:hAnsi="Times New Roman" w:eastAsia="宋体" w:cs="Times New Roman"/>
                          <w:lang w:val="en-US" w:eastAsia="zh-CN"/>
                        </w:rPr>
                      </w:pPr>
                    </w:p>
                  </w:txbxContent>
                </v:textbox>
              </v:shape>
            </w:pict>
          </mc:Fallback>
        </mc:AlternateContent>
      </w:r>
      <w:r>
        <w:rPr>
          <w:rFonts w:hint="eastAsia" w:eastAsia="宋体"/>
          <w:lang w:eastAsia="zh-CN"/>
        </w:rPr>
        <w:drawing>
          <wp:anchor distT="0" distB="0" distL="114300" distR="114300" simplePos="0" relativeHeight="251667456" behindDoc="0" locked="0" layoutInCell="1" allowOverlap="1">
            <wp:simplePos x="0" y="0"/>
            <wp:positionH relativeFrom="column">
              <wp:posOffset>-952500</wp:posOffset>
            </wp:positionH>
            <wp:positionV relativeFrom="paragraph">
              <wp:posOffset>-1057910</wp:posOffset>
            </wp:positionV>
            <wp:extent cx="7561580" cy="10692130"/>
            <wp:effectExtent l="0" t="0" r="1270" b="13970"/>
            <wp:wrapNone/>
            <wp:docPr id="60" name="图片 76" descr="（打印稿）福建中医药大学附属人民医院仓山院区（国家中医疫病防治基地）环境影响报告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6" descr="（打印稿）福建中医药大学附属人民医院仓山院区（国家中医疫病防治基地）环境影响报告表_04"/>
                    <pic:cNvPicPr>
                      <a:picLocks noChangeAspect="1"/>
                    </pic:cNvPicPr>
                  </pic:nvPicPr>
                  <pic:blipFill>
                    <a:blip r:embed="rId19"/>
                    <a:stretch>
                      <a:fillRect/>
                    </a:stretch>
                  </pic:blipFill>
                  <pic:spPr>
                    <a:xfrm>
                      <a:off x="0" y="0"/>
                      <a:ext cx="7561580" cy="10692130"/>
                    </a:xfrm>
                    <a:prstGeom prst="rect">
                      <a:avLst/>
                    </a:prstGeom>
                    <a:noFill/>
                    <a:ln>
                      <a:noFill/>
                    </a:ln>
                  </pic:spPr>
                </pic:pic>
              </a:graphicData>
            </a:graphic>
          </wp:anchor>
        </w:drawing>
      </w:r>
    </w:p>
    <w:p w14:paraId="5E9C8CD0">
      <w:pPr>
        <w:ind w:firstLine="0" w:firstLineChars="0"/>
        <w:jc w:val="center"/>
        <w:rPr>
          <w:rFonts w:hint="eastAsia" w:ascii="黑体" w:hAnsi="黑体" w:eastAsia="黑体" w:cs="黑体"/>
          <w:sz w:val="32"/>
          <w:szCs w:val="32"/>
          <w:lang w:eastAsia="zh-CN"/>
        </w:rPr>
        <w:sectPr>
          <w:pgSz w:w="11906" w:h="16838"/>
          <w:pgMar w:top="1701" w:right="1531" w:bottom="1701" w:left="1531" w:header="851" w:footer="1077" w:gutter="0"/>
          <w:pgNumType w:start="1"/>
          <w:cols w:space="720" w:num="1"/>
          <w:docGrid w:linePitch="312" w:charSpace="0"/>
        </w:sectPr>
      </w:pPr>
      <w:r>
        <w:rPr>
          <w:rFonts w:hint="eastAsia" w:ascii="黑体" w:hAnsi="黑体" w:eastAsia="黑体" w:cs="黑体"/>
          <w:sz w:val="32"/>
          <w:szCs w:val="32"/>
          <w:lang w:eastAsia="zh-CN"/>
        </w:rPr>
        <w:drawing>
          <wp:anchor distT="0" distB="0" distL="114300" distR="114300" simplePos="0" relativeHeight="251671552" behindDoc="0" locked="0" layoutInCell="1" allowOverlap="1">
            <wp:simplePos x="0" y="0"/>
            <wp:positionH relativeFrom="column">
              <wp:posOffset>-1002030</wp:posOffset>
            </wp:positionH>
            <wp:positionV relativeFrom="paragraph">
              <wp:posOffset>-1076325</wp:posOffset>
            </wp:positionV>
            <wp:extent cx="7558405" cy="10692130"/>
            <wp:effectExtent l="0" t="0" r="4445" b="13970"/>
            <wp:wrapNone/>
            <wp:docPr id="64" name="图片 64" descr="20260227100801466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0260227100801466_02"/>
                    <pic:cNvPicPr>
                      <a:picLocks noChangeAspect="1"/>
                    </pic:cNvPicPr>
                  </pic:nvPicPr>
                  <pic:blipFill>
                    <a:blip r:embed="rId20"/>
                    <a:stretch>
                      <a:fillRect/>
                    </a:stretch>
                  </pic:blipFill>
                  <pic:spPr>
                    <a:xfrm>
                      <a:off x="0" y="0"/>
                      <a:ext cx="7558405" cy="10692130"/>
                    </a:xfrm>
                    <a:prstGeom prst="rect">
                      <a:avLst/>
                    </a:prstGeom>
                  </pic:spPr>
                </pic:pic>
              </a:graphicData>
            </a:graphic>
          </wp:anchor>
        </w:drawing>
      </w:r>
    </w:p>
    <w:p w14:paraId="2167042B">
      <w:pPr>
        <w:ind w:firstLine="0" w:firstLineChars="0"/>
        <w:jc w:val="center"/>
        <w:rPr>
          <w:rFonts w:hint="eastAsia" w:ascii="黑体" w:hAnsi="黑体" w:eastAsia="黑体" w:cs="黑体"/>
          <w:sz w:val="32"/>
          <w:szCs w:val="32"/>
          <w:lang w:eastAsia="zh-CN"/>
        </w:rPr>
        <w:sectPr>
          <w:pgSz w:w="11906" w:h="16838"/>
          <w:pgMar w:top="1701" w:right="1531" w:bottom="1701" w:left="1531" w:header="851" w:footer="1077" w:gutter="0"/>
          <w:pgNumType w:start="1"/>
          <w:cols w:space="720" w:num="1"/>
          <w:docGrid w:linePitch="312" w:charSpace="0"/>
        </w:sectPr>
      </w:pPr>
      <w:r>
        <w:rPr>
          <w:rFonts w:hint="eastAsia" w:ascii="黑体" w:hAnsi="黑体" w:eastAsia="黑体" w:cs="黑体"/>
          <w:sz w:val="32"/>
          <w:szCs w:val="32"/>
          <w:lang w:eastAsia="zh-CN"/>
        </w:rPr>
        <w:drawing>
          <wp:anchor distT="0" distB="0" distL="114300" distR="114300" simplePos="0" relativeHeight="251672576" behindDoc="0" locked="0" layoutInCell="1" allowOverlap="1">
            <wp:simplePos x="0" y="0"/>
            <wp:positionH relativeFrom="column">
              <wp:posOffset>-973455</wp:posOffset>
            </wp:positionH>
            <wp:positionV relativeFrom="paragraph">
              <wp:posOffset>-1076325</wp:posOffset>
            </wp:positionV>
            <wp:extent cx="7558405" cy="10690225"/>
            <wp:effectExtent l="0" t="0" r="4445" b="15875"/>
            <wp:wrapNone/>
            <wp:docPr id="66" name="图片 66" descr="20260227100801466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60227100801466_03"/>
                    <pic:cNvPicPr>
                      <a:picLocks noChangeAspect="1"/>
                    </pic:cNvPicPr>
                  </pic:nvPicPr>
                  <pic:blipFill>
                    <a:blip r:embed="rId21"/>
                    <a:stretch>
                      <a:fillRect/>
                    </a:stretch>
                  </pic:blipFill>
                  <pic:spPr>
                    <a:xfrm>
                      <a:off x="0" y="0"/>
                      <a:ext cx="7558405" cy="10690225"/>
                    </a:xfrm>
                    <a:prstGeom prst="rect">
                      <a:avLst/>
                    </a:prstGeom>
                  </pic:spPr>
                </pic:pic>
              </a:graphicData>
            </a:graphic>
          </wp:anchor>
        </w:drawing>
      </w:r>
    </w:p>
    <w:p w14:paraId="30C6D2BB">
      <w:pPr>
        <w:ind w:firstLine="0" w:firstLineChars="0"/>
        <w:jc w:val="center"/>
        <w:rPr>
          <w:rFonts w:hint="eastAsia" w:ascii="黑体" w:hAnsi="黑体" w:eastAsia="黑体" w:cs="黑体"/>
          <w:sz w:val="32"/>
          <w:szCs w:val="32"/>
          <w:lang w:eastAsia="zh-CN"/>
        </w:rPr>
        <w:sectPr>
          <w:pgSz w:w="11906" w:h="16838"/>
          <w:pgMar w:top="1701" w:right="1531" w:bottom="1701" w:left="1531" w:header="851" w:footer="1077" w:gutter="0"/>
          <w:pgNumType w:start="1"/>
          <w:cols w:space="720" w:num="1"/>
          <w:docGrid w:linePitch="312" w:charSpace="0"/>
        </w:sectPr>
      </w:pPr>
      <w:r>
        <w:rPr>
          <w:rFonts w:hint="eastAsia" w:ascii="黑体" w:hAnsi="黑体" w:eastAsia="黑体" w:cs="黑体"/>
          <w:sz w:val="32"/>
          <w:szCs w:val="32"/>
          <w:lang w:eastAsia="zh-CN"/>
        </w:rPr>
        <w:drawing>
          <wp:anchor distT="0" distB="0" distL="114300" distR="114300" simplePos="0" relativeHeight="251673600" behindDoc="0" locked="0" layoutInCell="1" allowOverlap="1">
            <wp:simplePos x="0" y="0"/>
            <wp:positionH relativeFrom="column">
              <wp:posOffset>-954405</wp:posOffset>
            </wp:positionH>
            <wp:positionV relativeFrom="paragraph">
              <wp:posOffset>-1038225</wp:posOffset>
            </wp:positionV>
            <wp:extent cx="7558405" cy="10690225"/>
            <wp:effectExtent l="0" t="0" r="4445" b="15875"/>
            <wp:wrapNone/>
            <wp:docPr id="67" name="图片 67" descr="20260227100801466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60227100801466_04"/>
                    <pic:cNvPicPr>
                      <a:picLocks noChangeAspect="1"/>
                    </pic:cNvPicPr>
                  </pic:nvPicPr>
                  <pic:blipFill>
                    <a:blip r:embed="rId22"/>
                    <a:stretch>
                      <a:fillRect/>
                    </a:stretch>
                  </pic:blipFill>
                  <pic:spPr>
                    <a:xfrm>
                      <a:off x="0" y="0"/>
                      <a:ext cx="7558405" cy="10690225"/>
                    </a:xfrm>
                    <a:prstGeom prst="rect">
                      <a:avLst/>
                    </a:prstGeom>
                  </pic:spPr>
                </pic:pic>
              </a:graphicData>
            </a:graphic>
          </wp:anchor>
        </w:drawing>
      </w:r>
    </w:p>
    <w:p w14:paraId="23317EEB">
      <w:pPr>
        <w:ind w:firstLine="0" w:firstLineChars="0"/>
        <w:jc w:val="center"/>
        <w:rPr>
          <w:rFonts w:hint="eastAsia" w:ascii="黑体" w:hAnsi="黑体" w:eastAsia="黑体" w:cs="黑体"/>
          <w:sz w:val="32"/>
          <w:szCs w:val="32"/>
          <w:lang w:eastAsia="zh-CN"/>
        </w:rPr>
        <w:sectPr>
          <w:pgSz w:w="11906" w:h="16838"/>
          <w:pgMar w:top="1701" w:right="1531" w:bottom="1701" w:left="1531" w:header="851" w:footer="1077" w:gutter="0"/>
          <w:pgNumType w:start="1"/>
          <w:cols w:space="720" w:num="1"/>
          <w:docGrid w:linePitch="312" w:charSpace="0"/>
        </w:sectPr>
      </w:pPr>
      <w:r>
        <w:rPr>
          <w:rFonts w:hint="eastAsia" w:ascii="黑体" w:hAnsi="黑体" w:eastAsia="黑体" w:cs="黑体"/>
          <w:sz w:val="32"/>
          <w:szCs w:val="32"/>
          <w:lang w:eastAsia="zh-CN"/>
        </w:rPr>
        <w:drawing>
          <wp:inline distT="0" distB="0" distL="114300" distR="114300">
            <wp:extent cx="5603875" cy="3961765"/>
            <wp:effectExtent l="0" t="0" r="15875" b="635"/>
            <wp:docPr id="68" name="图片 68" descr="林永松202511-202601社保证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林永松202511-202601社保证明_01"/>
                    <pic:cNvPicPr>
                      <a:picLocks noChangeAspect="1"/>
                    </pic:cNvPicPr>
                  </pic:nvPicPr>
                  <pic:blipFill>
                    <a:blip r:embed="rId23"/>
                    <a:stretch>
                      <a:fillRect/>
                    </a:stretch>
                  </pic:blipFill>
                  <pic:spPr>
                    <a:xfrm>
                      <a:off x="0" y="0"/>
                      <a:ext cx="5603875" cy="3961765"/>
                    </a:xfrm>
                    <a:prstGeom prst="rect">
                      <a:avLst/>
                    </a:prstGeom>
                  </pic:spPr>
                </pic:pic>
              </a:graphicData>
            </a:graphic>
          </wp:inline>
        </w:drawing>
      </w:r>
      <w:r>
        <w:rPr>
          <w:rFonts w:ascii="Times New Roman" w:hAnsi="Times New Roman" w:cs="Times New Roman"/>
        </w:rPr>
        <mc:AlternateContent>
          <mc:Choice Requires="wps">
            <w:drawing>
              <wp:anchor distT="0" distB="0" distL="114300" distR="114300" simplePos="0" relativeHeight="251674624" behindDoc="0" locked="0" layoutInCell="1" allowOverlap="1">
                <wp:simplePos x="0" y="0"/>
                <wp:positionH relativeFrom="column">
                  <wp:posOffset>-428625</wp:posOffset>
                </wp:positionH>
                <wp:positionV relativeFrom="paragraph">
                  <wp:posOffset>2400300</wp:posOffset>
                </wp:positionV>
                <wp:extent cx="6985000" cy="1402080"/>
                <wp:effectExtent l="0" t="0" r="0" b="0"/>
                <wp:wrapNone/>
                <wp:docPr id="70" name="文本框 70"/>
                <wp:cNvGraphicFramePr/>
                <a:graphic xmlns:a="http://schemas.openxmlformats.org/drawingml/2006/main">
                  <a:graphicData uri="http://schemas.microsoft.com/office/word/2010/wordprocessingShape">
                    <wps:wsp>
                      <wps:cNvSpPr txBox="1"/>
                      <wps:spPr>
                        <a:xfrm rot="-1320000">
                          <a:off x="543560" y="3480435"/>
                          <a:ext cx="6985000" cy="1402080"/>
                        </a:xfrm>
                        <a:prstGeom prst="rect">
                          <a:avLst/>
                        </a:prstGeom>
                        <a:noFill/>
                        <a:ln w="6350">
                          <a:noFill/>
                        </a:ln>
                      </wps:spPr>
                      <wps:txbx>
                        <w:txbxContent>
                          <w:p w14:paraId="08F3FA12">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75938630">
                            <w:pPr>
                              <w:rPr>
                                <w:rFonts w:hint="eastAsia" w:ascii="Times New Roman" w:hAnsi="Times New Roman" w:eastAsia="宋体" w:cs="Times New Roman"/>
                                <w:lang w:val="en-US" w:eastAsia="zh-CN"/>
                              </w:rPr>
                            </w:pPr>
                          </w:p>
                        </w:txbxContent>
                      </wps:txbx>
                      <wps:bodyPr upright="0">
                        <a:spAutoFit/>
                      </wps:bodyPr>
                    </wps:wsp>
                  </a:graphicData>
                </a:graphic>
              </wp:anchor>
            </w:drawing>
          </mc:Choice>
          <mc:Fallback>
            <w:pict>
              <v:shape id="_x0000_s1026" o:spid="_x0000_s1026" o:spt="202" type="#_x0000_t202" style="position:absolute;left:0pt;margin-left:-33.75pt;margin-top:189pt;height:110.4pt;width:550pt;rotation:-1441792f;z-index:251674624;mso-width-relative:page;mso-height-relative:page;" filled="f" stroked="f" coordsize="21600,21600" o:gfxdata="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go1id2wAAAAwBAAAPAAAAAAAA&#10;AAEAIAAAACIAAABkcnMvZG93bnJldi54bWxQSwECFAAUAAAACACHTuJAAlgK4NYBAACOAwAADgAA&#10;AAAAAAABACAAAAAqAQAAZHJzL2Uyb0RvYy54bWxQSwUGAAAAAAYABgBZAQAAcgUAAAAA&#10;">
                <v:fill on="f" focussize="0,0"/>
                <v:stroke on="f" weight="0.5pt"/>
                <v:imagedata o:title=""/>
                <o:lock v:ext="edit" aspectratio="f"/>
                <v:textbox style="mso-fit-shape-to-text:t;">
                  <w:txbxContent>
                    <w:p w14:paraId="08F3FA12">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75938630">
                      <w:pPr>
                        <w:rPr>
                          <w:rFonts w:hint="eastAsia" w:ascii="Times New Roman" w:hAnsi="Times New Roman" w:eastAsia="宋体" w:cs="Times New Roman"/>
                          <w:lang w:val="en-US" w:eastAsia="zh-CN"/>
                        </w:rPr>
                      </w:pPr>
                    </w:p>
                  </w:txbxContent>
                </v:textbox>
              </v:shape>
            </w:pict>
          </mc:Fallback>
        </mc:AlternateContent>
      </w:r>
    </w:p>
    <w:p w14:paraId="107F2343">
      <w:pPr>
        <w:ind w:firstLine="0" w:firstLineChars="0"/>
        <w:jc w:val="center"/>
        <w:rPr>
          <w:rFonts w:hint="eastAsia" w:ascii="黑体" w:hAnsi="黑体" w:eastAsia="黑体" w:cs="黑体"/>
          <w:sz w:val="32"/>
          <w:szCs w:val="32"/>
          <w:lang w:eastAsia="zh-CN"/>
        </w:rPr>
        <w:sectPr>
          <w:pgSz w:w="11906" w:h="16838"/>
          <w:pgMar w:top="1701" w:right="1531" w:bottom="1701" w:left="1531" w:header="851" w:footer="1077" w:gutter="0"/>
          <w:pgNumType w:start="1"/>
          <w:cols w:space="720" w:num="1"/>
          <w:docGrid w:linePitch="312" w:charSpace="0"/>
        </w:sectPr>
      </w:pPr>
      <w:r>
        <w:rPr>
          <w:rFonts w:ascii="Times New Roman" w:hAnsi="Times New Roman" w:cs="Times New Roman"/>
        </w:rPr>
        <mc:AlternateContent>
          <mc:Choice Requires="wps">
            <w:drawing>
              <wp:anchor distT="0" distB="0" distL="114300" distR="114300" simplePos="0" relativeHeight="251675648" behindDoc="0" locked="0" layoutInCell="1" allowOverlap="1">
                <wp:simplePos x="0" y="0"/>
                <wp:positionH relativeFrom="column">
                  <wp:posOffset>-428625</wp:posOffset>
                </wp:positionH>
                <wp:positionV relativeFrom="paragraph">
                  <wp:posOffset>2400300</wp:posOffset>
                </wp:positionV>
                <wp:extent cx="6985000" cy="1402080"/>
                <wp:effectExtent l="0" t="0" r="0" b="0"/>
                <wp:wrapNone/>
                <wp:docPr id="71" name="文本框 71"/>
                <wp:cNvGraphicFramePr/>
                <a:graphic xmlns:a="http://schemas.openxmlformats.org/drawingml/2006/main">
                  <a:graphicData uri="http://schemas.microsoft.com/office/word/2010/wordprocessingShape">
                    <wps:wsp>
                      <wps:cNvSpPr txBox="1"/>
                      <wps:spPr>
                        <a:xfrm rot="-1320000">
                          <a:off x="543560" y="3480435"/>
                          <a:ext cx="6985000" cy="1402080"/>
                        </a:xfrm>
                        <a:prstGeom prst="rect">
                          <a:avLst/>
                        </a:prstGeom>
                        <a:noFill/>
                        <a:ln w="6350">
                          <a:noFill/>
                        </a:ln>
                      </wps:spPr>
                      <wps:txbx>
                        <w:txbxContent>
                          <w:p w14:paraId="76998B77">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23CDAFA6">
                            <w:pPr>
                              <w:rPr>
                                <w:rFonts w:hint="eastAsia" w:ascii="Times New Roman" w:hAnsi="Times New Roman" w:eastAsia="宋体" w:cs="Times New Roman"/>
                                <w:lang w:val="en-US" w:eastAsia="zh-CN"/>
                              </w:rPr>
                            </w:pPr>
                          </w:p>
                        </w:txbxContent>
                      </wps:txbx>
                      <wps:bodyPr upright="0">
                        <a:spAutoFit/>
                      </wps:bodyPr>
                    </wps:wsp>
                  </a:graphicData>
                </a:graphic>
              </wp:anchor>
            </w:drawing>
          </mc:Choice>
          <mc:Fallback>
            <w:pict>
              <v:shape id="_x0000_s1026" o:spid="_x0000_s1026" o:spt="202" type="#_x0000_t202" style="position:absolute;left:0pt;margin-left:-33.75pt;margin-top:189pt;height:110.4pt;width:550pt;rotation:-1441792f;z-index:251675648;mso-width-relative:page;mso-height-relative:page;" filled="f" stroked="f" coordsize="21600,21600" o:gfxdata="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IKNYndsAAAAMAQAADwAAAAAA&#10;AAABACAAAAAiAAAAZHJzL2Rvd25yZXYueG1sUEsBAhQAFAAAAAgAh07iQA8+WCTXAQAAjgMAAA4A&#10;AAAAAAAAAQAgAAAAKgEAAGRycy9lMm9Eb2MueG1sUEsFBgAAAAAGAAYAWQEAAHMFAAAAAA==&#10;">
                <v:fill on="f" focussize="0,0"/>
                <v:stroke on="f" weight="0.5pt"/>
                <v:imagedata o:title=""/>
                <o:lock v:ext="edit" aspectratio="f"/>
                <v:textbox style="mso-fit-shape-to-text:t;">
                  <w:txbxContent>
                    <w:p w14:paraId="76998B77">
                      <w:pPr>
                        <w:keepNext w:val="0"/>
                        <w:keepLines w:val="0"/>
                        <w:pageBreakBefore w:val="0"/>
                        <w:widowControl w:val="0"/>
                        <w:kinsoku/>
                        <w:wordWrap/>
                        <w:overflowPunct/>
                        <w:topLinePunct w:val="0"/>
                        <w:autoSpaceDE/>
                        <w:autoSpaceDN/>
                        <w:bidi w:val="0"/>
                        <w:adjustRightInd/>
                        <w:snapToGrid/>
                        <w:spacing w:line="820" w:lineRule="exact"/>
                        <w:ind w:left="0" w:leftChars="0" w:firstLine="0" w:firstLineChars="0"/>
                        <w:jc w:val="center"/>
                        <w:textAlignment w:val="auto"/>
                        <w:rPr>
                          <w:rFonts w:hint="eastAsia" w:ascii="Times New Roman" w:hAnsi="Times New Roman" w:eastAsia="宋体" w:cs="Times New Roman"/>
                          <w:b/>
                          <w:bCs/>
                          <w:color w:val="A5A5A5"/>
                          <w:sz w:val="44"/>
                          <w:szCs w:val="44"/>
                          <w:lang w:val="en-US" w:eastAsia="zh-CN"/>
                        </w:rPr>
                      </w:pPr>
                      <w:r>
                        <w:rPr>
                          <w:rFonts w:hint="eastAsia" w:ascii="Times New Roman" w:hAnsi="Times New Roman" w:eastAsia="宋体" w:cs="Times New Roman"/>
                          <w:b/>
                          <w:bCs/>
                          <w:color w:val="A5A5A5"/>
                          <w:sz w:val="44"/>
                          <w:szCs w:val="44"/>
                          <w:lang w:val="en-US" w:eastAsia="zh-CN"/>
                        </w:rPr>
                        <w:t>此附件仅供福建省迈客邦建材有限公司年产30000吨干粉砂浆项目使用</w:t>
                      </w:r>
                    </w:p>
                    <w:p w14:paraId="23CDAFA6">
                      <w:pPr>
                        <w:rPr>
                          <w:rFonts w:hint="eastAsia" w:ascii="Times New Roman" w:hAnsi="Times New Roman" w:eastAsia="宋体" w:cs="Times New Roman"/>
                          <w:lang w:val="en-US" w:eastAsia="zh-CN"/>
                        </w:rPr>
                      </w:pPr>
                    </w:p>
                  </w:txbxContent>
                </v:textbox>
              </v:shape>
            </w:pict>
          </mc:Fallback>
        </mc:AlternateContent>
      </w:r>
      <w:r>
        <w:rPr>
          <w:rFonts w:hint="eastAsia" w:ascii="黑体" w:hAnsi="黑体" w:eastAsia="黑体" w:cs="黑体"/>
          <w:sz w:val="32"/>
          <w:szCs w:val="32"/>
          <w:lang w:eastAsia="zh-CN"/>
        </w:rPr>
        <w:drawing>
          <wp:inline distT="0" distB="0" distL="114300" distR="114300">
            <wp:extent cx="5603875" cy="3961765"/>
            <wp:effectExtent l="0" t="0" r="15875" b="635"/>
            <wp:docPr id="69" name="图片 69" descr="郭而扬202511-202601社保证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郭而扬202511-202601社保证明_01"/>
                    <pic:cNvPicPr>
                      <a:picLocks noChangeAspect="1"/>
                    </pic:cNvPicPr>
                  </pic:nvPicPr>
                  <pic:blipFill>
                    <a:blip r:embed="rId24"/>
                    <a:stretch>
                      <a:fillRect/>
                    </a:stretch>
                  </pic:blipFill>
                  <pic:spPr>
                    <a:xfrm>
                      <a:off x="0" y="0"/>
                      <a:ext cx="5603875" cy="3961765"/>
                    </a:xfrm>
                    <a:prstGeom prst="rect">
                      <a:avLst/>
                    </a:prstGeom>
                  </pic:spPr>
                </pic:pic>
              </a:graphicData>
            </a:graphic>
          </wp:inline>
        </w:drawing>
      </w:r>
    </w:p>
    <w:p w14:paraId="561CF85D">
      <w:pPr>
        <w:ind w:firstLine="0" w:firstLineChars="0"/>
        <w:jc w:val="center"/>
        <w:rPr>
          <w:rFonts w:ascii="黑体" w:hAnsi="黑体" w:eastAsia="黑体" w:cs="黑体"/>
          <w:sz w:val="32"/>
          <w:szCs w:val="32"/>
        </w:rPr>
      </w:pPr>
      <w:r>
        <w:rPr>
          <w:rFonts w:hint="eastAsia" w:ascii="黑体" w:hAnsi="黑体" w:eastAsia="黑体" w:cs="黑体"/>
          <w:sz w:val="32"/>
          <w:szCs w:val="32"/>
        </w:rPr>
        <w:t>目 录</w:t>
      </w:r>
    </w:p>
    <w:p w14:paraId="6843C4A7">
      <w:pPr>
        <w:pStyle w:val="21"/>
        <w:tabs>
          <w:tab w:val="right" w:leader="dot" w:pos="8844"/>
        </w:tabs>
      </w:pPr>
      <w:r>
        <w:rPr>
          <w:rFonts w:eastAsia="仿宋_GB2312"/>
          <w:b/>
          <w:bCs/>
        </w:rPr>
        <w:fldChar w:fldCharType="begin"/>
      </w:r>
      <w:r>
        <w:rPr>
          <w:rFonts w:eastAsia="仿宋_GB2312"/>
          <w:b/>
          <w:bCs/>
        </w:rPr>
        <w:instrText xml:space="preserve">TOC \o "1-1" \h \u </w:instrText>
      </w:r>
      <w:r>
        <w:rPr>
          <w:rFonts w:eastAsia="仿宋_GB2312"/>
          <w:b/>
          <w:bCs/>
        </w:rPr>
        <w:fldChar w:fldCharType="separate"/>
      </w:r>
      <w:r>
        <w:rPr>
          <w:rFonts w:eastAsia="仿宋_GB2312"/>
          <w:bCs/>
        </w:rPr>
        <w:fldChar w:fldCharType="begin"/>
      </w:r>
      <w:r>
        <w:rPr>
          <w:rFonts w:eastAsia="仿宋_GB2312"/>
          <w:bCs/>
        </w:rPr>
        <w:instrText xml:space="preserve"> HYPERLINK \l _Toc622 </w:instrText>
      </w:r>
      <w:r>
        <w:rPr>
          <w:rFonts w:eastAsia="仿宋_GB2312"/>
          <w:bCs/>
        </w:rPr>
        <w:fldChar w:fldCharType="separate"/>
      </w:r>
      <w:r>
        <w:rPr>
          <w:bCs/>
          <w:kern w:val="44"/>
          <w:szCs w:val="30"/>
        </w:rPr>
        <w:t>一、建设项目基本情况</w:t>
      </w:r>
      <w:r>
        <w:tab/>
      </w:r>
      <w:r>
        <w:fldChar w:fldCharType="begin"/>
      </w:r>
      <w:r>
        <w:instrText xml:space="preserve"> PAGEREF _Toc622 \h </w:instrText>
      </w:r>
      <w:r>
        <w:fldChar w:fldCharType="separate"/>
      </w:r>
      <w:r>
        <w:t>1</w:t>
      </w:r>
      <w:r>
        <w:fldChar w:fldCharType="end"/>
      </w:r>
      <w:r>
        <w:rPr>
          <w:rFonts w:eastAsia="仿宋_GB2312"/>
          <w:bCs/>
        </w:rPr>
        <w:fldChar w:fldCharType="end"/>
      </w:r>
    </w:p>
    <w:p w14:paraId="36B4CF34">
      <w:pPr>
        <w:pStyle w:val="21"/>
        <w:tabs>
          <w:tab w:val="right" w:leader="dot" w:pos="8844"/>
        </w:tabs>
      </w:pPr>
      <w:r>
        <w:rPr>
          <w:rFonts w:eastAsia="仿宋_GB2312"/>
          <w:bCs/>
        </w:rPr>
        <w:fldChar w:fldCharType="begin"/>
      </w:r>
      <w:r>
        <w:rPr>
          <w:rFonts w:eastAsia="仿宋_GB2312"/>
          <w:bCs/>
        </w:rPr>
        <w:instrText xml:space="preserve"> HYPERLINK \l _Toc942 </w:instrText>
      </w:r>
      <w:r>
        <w:rPr>
          <w:rFonts w:eastAsia="仿宋_GB2312"/>
          <w:bCs/>
        </w:rPr>
        <w:fldChar w:fldCharType="separate"/>
      </w:r>
      <w:r>
        <w:rPr>
          <w:bCs/>
          <w:kern w:val="44"/>
          <w:szCs w:val="30"/>
        </w:rPr>
        <w:t>二、建设项目工程分析</w:t>
      </w:r>
      <w:r>
        <w:tab/>
      </w:r>
      <w:r>
        <w:fldChar w:fldCharType="begin"/>
      </w:r>
      <w:r>
        <w:instrText xml:space="preserve"> PAGEREF _Toc942 \h </w:instrText>
      </w:r>
      <w:r>
        <w:fldChar w:fldCharType="separate"/>
      </w:r>
      <w:r>
        <w:t>14</w:t>
      </w:r>
      <w:r>
        <w:fldChar w:fldCharType="end"/>
      </w:r>
      <w:r>
        <w:rPr>
          <w:rFonts w:eastAsia="仿宋_GB2312"/>
          <w:bCs/>
        </w:rPr>
        <w:fldChar w:fldCharType="end"/>
      </w:r>
    </w:p>
    <w:p w14:paraId="77837FFF">
      <w:pPr>
        <w:pStyle w:val="21"/>
        <w:tabs>
          <w:tab w:val="right" w:leader="dot" w:pos="8844"/>
        </w:tabs>
      </w:pPr>
      <w:r>
        <w:rPr>
          <w:rFonts w:eastAsia="仿宋_GB2312"/>
          <w:bCs/>
        </w:rPr>
        <w:fldChar w:fldCharType="begin"/>
      </w:r>
      <w:r>
        <w:rPr>
          <w:rFonts w:eastAsia="仿宋_GB2312"/>
          <w:bCs/>
        </w:rPr>
        <w:instrText xml:space="preserve"> HYPERLINK \l _Toc4467 </w:instrText>
      </w:r>
      <w:r>
        <w:rPr>
          <w:rFonts w:eastAsia="仿宋_GB2312"/>
          <w:bCs/>
        </w:rPr>
        <w:fldChar w:fldCharType="separate"/>
      </w:r>
      <w:r>
        <w:rPr>
          <w:bCs/>
          <w:kern w:val="44"/>
          <w:szCs w:val="30"/>
        </w:rPr>
        <w:t>三、区域环境质量现状、环境保护目标及评价标准</w:t>
      </w:r>
      <w:r>
        <w:tab/>
      </w:r>
      <w:r>
        <w:fldChar w:fldCharType="begin"/>
      </w:r>
      <w:r>
        <w:instrText xml:space="preserve"> PAGEREF _Toc4467 \h </w:instrText>
      </w:r>
      <w:r>
        <w:fldChar w:fldCharType="separate"/>
      </w:r>
      <w:r>
        <w:t>21</w:t>
      </w:r>
      <w:r>
        <w:fldChar w:fldCharType="end"/>
      </w:r>
      <w:r>
        <w:rPr>
          <w:rFonts w:eastAsia="仿宋_GB2312"/>
          <w:bCs/>
        </w:rPr>
        <w:fldChar w:fldCharType="end"/>
      </w:r>
    </w:p>
    <w:p w14:paraId="43F3FF3C">
      <w:pPr>
        <w:pStyle w:val="21"/>
        <w:tabs>
          <w:tab w:val="right" w:leader="dot" w:pos="8844"/>
        </w:tabs>
      </w:pPr>
      <w:r>
        <w:rPr>
          <w:rFonts w:eastAsia="仿宋_GB2312"/>
          <w:bCs/>
        </w:rPr>
        <w:fldChar w:fldCharType="begin"/>
      </w:r>
      <w:r>
        <w:rPr>
          <w:rFonts w:eastAsia="仿宋_GB2312"/>
          <w:bCs/>
        </w:rPr>
        <w:instrText xml:space="preserve"> HYPERLINK \l _Toc9287 </w:instrText>
      </w:r>
      <w:r>
        <w:rPr>
          <w:rFonts w:eastAsia="仿宋_GB2312"/>
          <w:bCs/>
        </w:rPr>
        <w:fldChar w:fldCharType="separate"/>
      </w:r>
      <w:r>
        <w:rPr>
          <w:rFonts w:hint="eastAsia"/>
          <w:bCs/>
          <w:kern w:val="44"/>
          <w:szCs w:val="30"/>
        </w:rPr>
        <w:t>四、主要环境影响和保护措施</w:t>
      </w:r>
      <w:r>
        <w:tab/>
      </w:r>
      <w:r>
        <w:fldChar w:fldCharType="begin"/>
      </w:r>
      <w:r>
        <w:instrText xml:space="preserve"> PAGEREF _Toc9287 \h </w:instrText>
      </w:r>
      <w:r>
        <w:fldChar w:fldCharType="separate"/>
      </w:r>
      <w:r>
        <w:t>34</w:t>
      </w:r>
      <w:r>
        <w:fldChar w:fldCharType="end"/>
      </w:r>
      <w:r>
        <w:rPr>
          <w:rFonts w:eastAsia="仿宋_GB2312"/>
          <w:bCs/>
        </w:rPr>
        <w:fldChar w:fldCharType="end"/>
      </w:r>
    </w:p>
    <w:p w14:paraId="602AC463">
      <w:pPr>
        <w:pStyle w:val="21"/>
        <w:tabs>
          <w:tab w:val="right" w:leader="dot" w:pos="8844"/>
        </w:tabs>
      </w:pPr>
      <w:r>
        <w:rPr>
          <w:rFonts w:eastAsia="仿宋_GB2312"/>
          <w:bCs/>
        </w:rPr>
        <w:fldChar w:fldCharType="begin"/>
      </w:r>
      <w:r>
        <w:rPr>
          <w:rFonts w:eastAsia="仿宋_GB2312"/>
          <w:bCs/>
        </w:rPr>
        <w:instrText xml:space="preserve"> HYPERLINK \l _Toc9554 </w:instrText>
      </w:r>
      <w:r>
        <w:rPr>
          <w:rFonts w:eastAsia="仿宋_GB2312"/>
          <w:bCs/>
        </w:rPr>
        <w:fldChar w:fldCharType="separate"/>
      </w:r>
      <w:r>
        <w:rPr>
          <w:bCs/>
          <w:kern w:val="44"/>
          <w:szCs w:val="30"/>
        </w:rPr>
        <w:t>五、环境保护措施监督检查清单</w:t>
      </w:r>
      <w:r>
        <w:tab/>
      </w:r>
      <w:r>
        <w:fldChar w:fldCharType="begin"/>
      </w:r>
      <w:r>
        <w:instrText xml:space="preserve"> PAGEREF _Toc9554 \h </w:instrText>
      </w:r>
      <w:r>
        <w:fldChar w:fldCharType="separate"/>
      </w:r>
      <w:r>
        <w:t>50</w:t>
      </w:r>
      <w:r>
        <w:fldChar w:fldCharType="end"/>
      </w:r>
      <w:r>
        <w:rPr>
          <w:rFonts w:eastAsia="仿宋_GB2312"/>
          <w:bCs/>
        </w:rPr>
        <w:fldChar w:fldCharType="end"/>
      </w:r>
    </w:p>
    <w:p w14:paraId="174EB40B">
      <w:pPr>
        <w:pStyle w:val="21"/>
        <w:tabs>
          <w:tab w:val="right" w:leader="dot" w:pos="8844"/>
        </w:tabs>
      </w:pPr>
      <w:r>
        <w:rPr>
          <w:rFonts w:eastAsia="仿宋_GB2312"/>
          <w:bCs/>
        </w:rPr>
        <w:fldChar w:fldCharType="begin"/>
      </w:r>
      <w:r>
        <w:rPr>
          <w:rFonts w:eastAsia="仿宋_GB2312"/>
          <w:bCs/>
        </w:rPr>
        <w:instrText xml:space="preserve"> HYPERLINK \l _Toc27594 </w:instrText>
      </w:r>
      <w:r>
        <w:rPr>
          <w:rFonts w:eastAsia="仿宋_GB2312"/>
          <w:bCs/>
        </w:rPr>
        <w:fldChar w:fldCharType="separate"/>
      </w:r>
      <w:r>
        <w:rPr>
          <w:rFonts w:hint="eastAsia"/>
        </w:rPr>
        <w:t>六</w:t>
      </w:r>
      <w:r>
        <w:t>、</w:t>
      </w:r>
      <w:r>
        <w:rPr>
          <w:rFonts w:hint="eastAsia"/>
        </w:rPr>
        <w:t>结论</w:t>
      </w:r>
      <w:r>
        <w:tab/>
      </w:r>
      <w:r>
        <w:fldChar w:fldCharType="begin"/>
      </w:r>
      <w:r>
        <w:instrText xml:space="preserve"> PAGEREF _Toc27594 \h </w:instrText>
      </w:r>
      <w:r>
        <w:fldChar w:fldCharType="separate"/>
      </w:r>
      <w:r>
        <w:t>54</w:t>
      </w:r>
      <w:r>
        <w:fldChar w:fldCharType="end"/>
      </w:r>
      <w:r>
        <w:rPr>
          <w:rFonts w:eastAsia="仿宋_GB2312"/>
          <w:bCs/>
        </w:rPr>
        <w:fldChar w:fldCharType="end"/>
      </w:r>
    </w:p>
    <w:p w14:paraId="50C8B41A">
      <w:pPr>
        <w:pStyle w:val="21"/>
        <w:tabs>
          <w:tab w:val="right" w:leader="dot" w:pos="8844"/>
        </w:tabs>
      </w:pPr>
      <w:r>
        <w:rPr>
          <w:rFonts w:eastAsia="仿宋_GB2312"/>
          <w:bCs/>
        </w:rPr>
        <w:fldChar w:fldCharType="begin"/>
      </w:r>
      <w:r>
        <w:rPr>
          <w:rFonts w:eastAsia="仿宋_GB2312"/>
          <w:bCs/>
        </w:rPr>
        <w:instrText xml:space="preserve"> HYPERLINK \l _Toc6409 </w:instrText>
      </w:r>
      <w:r>
        <w:rPr>
          <w:rFonts w:eastAsia="仿宋_GB2312"/>
          <w:bCs/>
        </w:rPr>
        <w:fldChar w:fldCharType="separate"/>
      </w:r>
      <w:r>
        <w:rPr>
          <w:bCs/>
          <w:kern w:val="44"/>
          <w:szCs w:val="30"/>
        </w:rPr>
        <w:t>附表</w:t>
      </w:r>
      <w:r>
        <w:tab/>
      </w:r>
      <w:r>
        <w:fldChar w:fldCharType="begin"/>
      </w:r>
      <w:r>
        <w:instrText xml:space="preserve"> PAGEREF _Toc6409 \h </w:instrText>
      </w:r>
      <w:r>
        <w:fldChar w:fldCharType="separate"/>
      </w:r>
      <w:r>
        <w:t>55</w:t>
      </w:r>
      <w:r>
        <w:fldChar w:fldCharType="end"/>
      </w:r>
      <w:r>
        <w:rPr>
          <w:rFonts w:eastAsia="仿宋_GB2312"/>
          <w:bCs/>
        </w:rPr>
        <w:fldChar w:fldCharType="end"/>
      </w:r>
    </w:p>
    <w:p w14:paraId="13642999">
      <w:pPr>
        <w:pStyle w:val="21"/>
        <w:tabs>
          <w:tab w:val="right" w:leader="dot" w:pos="8844"/>
        </w:tabs>
      </w:pPr>
      <w:r>
        <w:rPr>
          <w:rFonts w:eastAsia="仿宋_GB2312"/>
          <w:bCs/>
        </w:rPr>
        <w:fldChar w:fldCharType="begin"/>
      </w:r>
      <w:r>
        <w:rPr>
          <w:rFonts w:eastAsia="仿宋_GB2312"/>
          <w:bCs/>
        </w:rPr>
        <w:instrText xml:space="preserve"> HYPERLINK \l _Toc14089 </w:instrText>
      </w:r>
      <w:r>
        <w:rPr>
          <w:rFonts w:eastAsia="仿宋_GB2312"/>
          <w:bCs/>
        </w:rPr>
        <w:fldChar w:fldCharType="separate"/>
      </w:r>
      <w:r>
        <w:rPr>
          <w:rFonts w:hint="eastAsia"/>
          <w:bCs/>
          <w:kern w:val="44"/>
          <w:szCs w:val="30"/>
        </w:rPr>
        <w:t>附图1</w:t>
      </w:r>
      <w:r>
        <w:rPr>
          <w:bCs/>
          <w:kern w:val="44"/>
          <w:szCs w:val="30"/>
        </w:rPr>
        <w:t xml:space="preserve"> </w:t>
      </w:r>
      <w:r>
        <w:rPr>
          <w:rFonts w:hint="eastAsia"/>
          <w:bCs/>
          <w:kern w:val="44"/>
          <w:szCs w:val="30"/>
        </w:rPr>
        <w:t>项目地理位置图</w:t>
      </w:r>
      <w:r>
        <w:tab/>
      </w:r>
      <w:r>
        <w:fldChar w:fldCharType="begin"/>
      </w:r>
      <w:r>
        <w:instrText xml:space="preserve"> PAGEREF _Toc14089 \h </w:instrText>
      </w:r>
      <w:r>
        <w:fldChar w:fldCharType="separate"/>
      </w:r>
      <w:r>
        <w:t>56</w:t>
      </w:r>
      <w:r>
        <w:fldChar w:fldCharType="end"/>
      </w:r>
      <w:r>
        <w:rPr>
          <w:rFonts w:eastAsia="仿宋_GB2312"/>
          <w:bCs/>
        </w:rPr>
        <w:fldChar w:fldCharType="end"/>
      </w:r>
    </w:p>
    <w:p w14:paraId="0FD6058D">
      <w:pPr>
        <w:pStyle w:val="21"/>
        <w:tabs>
          <w:tab w:val="right" w:leader="dot" w:pos="8844"/>
        </w:tabs>
      </w:pPr>
      <w:r>
        <w:rPr>
          <w:rFonts w:eastAsia="仿宋_GB2312"/>
          <w:bCs/>
        </w:rPr>
        <w:fldChar w:fldCharType="begin"/>
      </w:r>
      <w:r>
        <w:rPr>
          <w:rFonts w:eastAsia="仿宋_GB2312"/>
          <w:bCs/>
        </w:rPr>
        <w:instrText xml:space="preserve"> HYPERLINK \l _Toc13503 </w:instrText>
      </w:r>
      <w:r>
        <w:rPr>
          <w:rFonts w:eastAsia="仿宋_GB2312"/>
          <w:bCs/>
        </w:rPr>
        <w:fldChar w:fldCharType="separate"/>
      </w:r>
      <w:r>
        <w:rPr>
          <w:rFonts w:hint="eastAsia"/>
          <w:bCs/>
          <w:kern w:val="44"/>
          <w:szCs w:val="30"/>
        </w:rPr>
        <w:t>附图2 项目周边环境保护目标分布图</w:t>
      </w:r>
      <w:r>
        <w:tab/>
      </w:r>
      <w:r>
        <w:fldChar w:fldCharType="begin"/>
      </w:r>
      <w:r>
        <w:instrText xml:space="preserve"> PAGEREF _Toc13503 \h </w:instrText>
      </w:r>
      <w:r>
        <w:fldChar w:fldCharType="separate"/>
      </w:r>
      <w:r>
        <w:t>57</w:t>
      </w:r>
      <w:r>
        <w:fldChar w:fldCharType="end"/>
      </w:r>
      <w:r>
        <w:rPr>
          <w:rFonts w:eastAsia="仿宋_GB2312"/>
          <w:bCs/>
        </w:rPr>
        <w:fldChar w:fldCharType="end"/>
      </w:r>
    </w:p>
    <w:p w14:paraId="0350EEC6">
      <w:pPr>
        <w:pStyle w:val="21"/>
        <w:tabs>
          <w:tab w:val="right" w:leader="dot" w:pos="8844"/>
        </w:tabs>
      </w:pPr>
      <w:r>
        <w:rPr>
          <w:rFonts w:eastAsia="仿宋_GB2312"/>
          <w:bCs/>
        </w:rPr>
        <w:fldChar w:fldCharType="begin"/>
      </w:r>
      <w:r>
        <w:rPr>
          <w:rFonts w:eastAsia="仿宋_GB2312"/>
          <w:bCs/>
        </w:rPr>
        <w:instrText xml:space="preserve"> HYPERLINK \l _Toc6567 </w:instrText>
      </w:r>
      <w:r>
        <w:rPr>
          <w:rFonts w:eastAsia="仿宋_GB2312"/>
          <w:bCs/>
        </w:rPr>
        <w:fldChar w:fldCharType="separate"/>
      </w:r>
      <w:r>
        <w:rPr>
          <w:rFonts w:hint="eastAsia"/>
          <w:bCs/>
          <w:kern w:val="44"/>
          <w:szCs w:val="30"/>
        </w:rPr>
        <w:t>附图3</w:t>
      </w:r>
      <w:r>
        <w:rPr>
          <w:bCs/>
          <w:kern w:val="44"/>
          <w:szCs w:val="30"/>
        </w:rPr>
        <w:t xml:space="preserve"> </w:t>
      </w:r>
      <w:r>
        <w:rPr>
          <w:rFonts w:hint="eastAsia"/>
          <w:bCs/>
          <w:kern w:val="44"/>
          <w:szCs w:val="30"/>
        </w:rPr>
        <w:t>总平面布置图</w:t>
      </w:r>
      <w:r>
        <w:tab/>
      </w:r>
      <w:r>
        <w:fldChar w:fldCharType="begin"/>
      </w:r>
      <w:r>
        <w:instrText xml:space="preserve"> PAGEREF _Toc6567 \h </w:instrText>
      </w:r>
      <w:r>
        <w:fldChar w:fldCharType="separate"/>
      </w:r>
      <w:r>
        <w:t>58</w:t>
      </w:r>
      <w:r>
        <w:fldChar w:fldCharType="end"/>
      </w:r>
      <w:r>
        <w:rPr>
          <w:rFonts w:eastAsia="仿宋_GB2312"/>
          <w:bCs/>
        </w:rPr>
        <w:fldChar w:fldCharType="end"/>
      </w:r>
    </w:p>
    <w:p w14:paraId="1D7E43B1">
      <w:pPr>
        <w:pStyle w:val="21"/>
        <w:tabs>
          <w:tab w:val="right" w:leader="dot" w:pos="8844"/>
        </w:tabs>
      </w:pPr>
      <w:r>
        <w:rPr>
          <w:rFonts w:eastAsia="仿宋_GB2312"/>
          <w:bCs/>
        </w:rPr>
        <w:fldChar w:fldCharType="begin"/>
      </w:r>
      <w:r>
        <w:rPr>
          <w:rFonts w:eastAsia="仿宋_GB2312"/>
          <w:bCs/>
        </w:rPr>
        <w:instrText xml:space="preserve"> HYPERLINK \l _Toc24900 </w:instrText>
      </w:r>
      <w:r>
        <w:rPr>
          <w:rFonts w:eastAsia="仿宋_GB2312"/>
          <w:bCs/>
        </w:rPr>
        <w:fldChar w:fldCharType="separate"/>
      </w:r>
      <w:r>
        <w:rPr>
          <w:rFonts w:hint="eastAsia"/>
          <w:bCs/>
          <w:kern w:val="44"/>
          <w:szCs w:val="30"/>
        </w:rPr>
        <w:t>附图4 生产车间平面布置图</w:t>
      </w:r>
      <w:r>
        <w:tab/>
      </w:r>
      <w:r>
        <w:fldChar w:fldCharType="begin"/>
      </w:r>
      <w:r>
        <w:instrText xml:space="preserve"> PAGEREF _Toc24900 \h </w:instrText>
      </w:r>
      <w:r>
        <w:fldChar w:fldCharType="separate"/>
      </w:r>
      <w:r>
        <w:t>59</w:t>
      </w:r>
      <w:r>
        <w:fldChar w:fldCharType="end"/>
      </w:r>
      <w:r>
        <w:rPr>
          <w:rFonts w:eastAsia="仿宋_GB2312"/>
          <w:bCs/>
        </w:rPr>
        <w:fldChar w:fldCharType="end"/>
      </w:r>
    </w:p>
    <w:p w14:paraId="04B3264B">
      <w:pPr>
        <w:pStyle w:val="21"/>
        <w:tabs>
          <w:tab w:val="right" w:leader="dot" w:pos="8844"/>
        </w:tabs>
      </w:pPr>
      <w:r>
        <w:rPr>
          <w:rFonts w:eastAsia="仿宋_GB2312"/>
          <w:bCs/>
        </w:rPr>
        <w:fldChar w:fldCharType="begin"/>
      </w:r>
      <w:r>
        <w:rPr>
          <w:rFonts w:eastAsia="仿宋_GB2312"/>
          <w:bCs/>
        </w:rPr>
        <w:instrText xml:space="preserve"> HYPERLINK \l _Toc13858 </w:instrText>
      </w:r>
      <w:r>
        <w:rPr>
          <w:rFonts w:eastAsia="仿宋_GB2312"/>
          <w:bCs/>
        </w:rPr>
        <w:fldChar w:fldCharType="separate"/>
      </w:r>
      <w:r>
        <w:rPr>
          <w:rFonts w:hint="eastAsia"/>
          <w:bCs/>
          <w:kern w:val="44"/>
          <w:szCs w:val="30"/>
        </w:rPr>
        <w:t>附图5 闽侯经济技术开发区规划提升——土地利用规划图</w:t>
      </w:r>
      <w:r>
        <w:tab/>
      </w:r>
      <w:r>
        <w:fldChar w:fldCharType="begin"/>
      </w:r>
      <w:r>
        <w:instrText xml:space="preserve"> PAGEREF _Toc13858 \h </w:instrText>
      </w:r>
      <w:r>
        <w:fldChar w:fldCharType="separate"/>
      </w:r>
      <w:r>
        <w:t>60</w:t>
      </w:r>
      <w:r>
        <w:fldChar w:fldCharType="end"/>
      </w:r>
      <w:r>
        <w:rPr>
          <w:rFonts w:eastAsia="仿宋_GB2312"/>
          <w:bCs/>
        </w:rPr>
        <w:fldChar w:fldCharType="end"/>
      </w:r>
    </w:p>
    <w:p w14:paraId="347B3386">
      <w:pPr>
        <w:pStyle w:val="21"/>
        <w:tabs>
          <w:tab w:val="right" w:leader="dot" w:pos="8844"/>
        </w:tabs>
      </w:pPr>
      <w:r>
        <w:rPr>
          <w:rFonts w:eastAsia="仿宋_GB2312"/>
          <w:bCs/>
        </w:rPr>
        <w:fldChar w:fldCharType="begin"/>
      </w:r>
      <w:r>
        <w:rPr>
          <w:rFonts w:eastAsia="仿宋_GB2312"/>
          <w:bCs/>
        </w:rPr>
        <w:instrText xml:space="preserve"> HYPERLINK \l _Toc18522 </w:instrText>
      </w:r>
      <w:r>
        <w:rPr>
          <w:rFonts w:eastAsia="仿宋_GB2312"/>
          <w:bCs/>
        </w:rPr>
        <w:fldChar w:fldCharType="separate"/>
      </w:r>
      <w:r>
        <w:rPr>
          <w:rFonts w:hint="eastAsia"/>
          <w:bCs/>
          <w:kern w:val="44"/>
          <w:szCs w:val="30"/>
        </w:rPr>
        <w:t>附图6 项目在闽侯县总体规划中的位置</w:t>
      </w:r>
      <w:r>
        <w:tab/>
      </w:r>
      <w:r>
        <w:fldChar w:fldCharType="begin"/>
      </w:r>
      <w:r>
        <w:instrText xml:space="preserve"> PAGEREF _Toc18522 \h </w:instrText>
      </w:r>
      <w:r>
        <w:fldChar w:fldCharType="separate"/>
      </w:r>
      <w:r>
        <w:t>62</w:t>
      </w:r>
      <w:r>
        <w:fldChar w:fldCharType="end"/>
      </w:r>
      <w:r>
        <w:rPr>
          <w:rFonts w:eastAsia="仿宋_GB2312"/>
          <w:bCs/>
        </w:rPr>
        <w:fldChar w:fldCharType="end"/>
      </w:r>
    </w:p>
    <w:p w14:paraId="429683C1">
      <w:pPr>
        <w:pStyle w:val="21"/>
        <w:tabs>
          <w:tab w:val="right" w:leader="dot" w:pos="8844"/>
        </w:tabs>
      </w:pPr>
      <w:r>
        <w:rPr>
          <w:rFonts w:eastAsia="仿宋_GB2312"/>
          <w:bCs/>
        </w:rPr>
        <w:fldChar w:fldCharType="begin"/>
      </w:r>
      <w:r>
        <w:rPr>
          <w:rFonts w:eastAsia="仿宋_GB2312"/>
          <w:bCs/>
        </w:rPr>
        <w:instrText xml:space="preserve"> HYPERLINK \l _Toc25450 </w:instrText>
      </w:r>
      <w:r>
        <w:rPr>
          <w:rFonts w:eastAsia="仿宋_GB2312"/>
          <w:bCs/>
        </w:rPr>
        <w:fldChar w:fldCharType="separate"/>
      </w:r>
      <w:r>
        <w:rPr>
          <w:rFonts w:hint="eastAsia"/>
          <w:bCs/>
          <w:kern w:val="44"/>
          <w:szCs w:val="30"/>
        </w:rPr>
        <w:t xml:space="preserve">附件1 </w:t>
      </w:r>
      <w:r>
        <w:rPr>
          <w:rFonts w:hint="eastAsia"/>
          <w:bCs/>
          <w:kern w:val="44"/>
          <w:szCs w:val="30"/>
          <w:lang w:eastAsia="zh-CN"/>
        </w:rPr>
        <w:t>项目委托书</w:t>
      </w:r>
      <w:r>
        <w:tab/>
      </w:r>
      <w:r>
        <w:fldChar w:fldCharType="begin"/>
      </w:r>
      <w:r>
        <w:instrText xml:space="preserve"> PAGEREF _Toc25450 \h </w:instrText>
      </w:r>
      <w:r>
        <w:fldChar w:fldCharType="separate"/>
      </w:r>
      <w:r>
        <w:t>63</w:t>
      </w:r>
      <w:r>
        <w:fldChar w:fldCharType="end"/>
      </w:r>
      <w:r>
        <w:rPr>
          <w:rFonts w:eastAsia="仿宋_GB2312"/>
          <w:bCs/>
        </w:rPr>
        <w:fldChar w:fldCharType="end"/>
      </w:r>
    </w:p>
    <w:p w14:paraId="66666406">
      <w:pPr>
        <w:pStyle w:val="21"/>
        <w:tabs>
          <w:tab w:val="right" w:leader="dot" w:pos="8844"/>
        </w:tabs>
      </w:pPr>
      <w:r>
        <w:rPr>
          <w:rFonts w:eastAsia="仿宋_GB2312"/>
          <w:bCs/>
        </w:rPr>
        <w:fldChar w:fldCharType="begin"/>
      </w:r>
      <w:r>
        <w:rPr>
          <w:rFonts w:eastAsia="仿宋_GB2312"/>
          <w:bCs/>
        </w:rPr>
        <w:instrText xml:space="preserve"> HYPERLINK \l _Toc20615 </w:instrText>
      </w:r>
      <w:r>
        <w:rPr>
          <w:rFonts w:eastAsia="仿宋_GB2312"/>
          <w:bCs/>
        </w:rPr>
        <w:fldChar w:fldCharType="separate"/>
      </w:r>
      <w:r>
        <w:rPr>
          <w:rFonts w:hint="eastAsia"/>
          <w:bCs/>
          <w:kern w:val="44"/>
          <w:szCs w:val="30"/>
        </w:rPr>
        <w:t>附件</w:t>
      </w:r>
      <w:r>
        <w:rPr>
          <w:rFonts w:hint="eastAsia"/>
          <w:bCs/>
          <w:kern w:val="44"/>
          <w:szCs w:val="30"/>
          <w:lang w:val="en-US" w:eastAsia="zh-CN"/>
        </w:rPr>
        <w:t>2</w:t>
      </w:r>
      <w:r>
        <w:rPr>
          <w:rFonts w:hint="eastAsia"/>
          <w:bCs/>
          <w:kern w:val="44"/>
          <w:szCs w:val="30"/>
        </w:rPr>
        <w:t xml:space="preserve"> 项目备案表</w:t>
      </w:r>
      <w:r>
        <w:tab/>
      </w:r>
      <w:r>
        <w:fldChar w:fldCharType="begin"/>
      </w:r>
      <w:r>
        <w:instrText xml:space="preserve"> PAGEREF _Toc20615 \h </w:instrText>
      </w:r>
      <w:r>
        <w:fldChar w:fldCharType="separate"/>
      </w:r>
      <w:r>
        <w:t>64</w:t>
      </w:r>
      <w:r>
        <w:fldChar w:fldCharType="end"/>
      </w:r>
      <w:r>
        <w:rPr>
          <w:rFonts w:eastAsia="仿宋_GB2312"/>
          <w:bCs/>
        </w:rPr>
        <w:fldChar w:fldCharType="end"/>
      </w:r>
    </w:p>
    <w:p w14:paraId="52546BC6">
      <w:pPr>
        <w:pStyle w:val="21"/>
        <w:tabs>
          <w:tab w:val="right" w:leader="dot" w:pos="8844"/>
        </w:tabs>
      </w:pPr>
      <w:r>
        <w:rPr>
          <w:rFonts w:eastAsia="仿宋_GB2312"/>
          <w:bCs/>
        </w:rPr>
        <w:fldChar w:fldCharType="begin"/>
      </w:r>
      <w:r>
        <w:rPr>
          <w:rFonts w:eastAsia="仿宋_GB2312"/>
          <w:bCs/>
        </w:rPr>
        <w:instrText xml:space="preserve"> HYPERLINK \l _Toc29685 </w:instrText>
      </w:r>
      <w:r>
        <w:rPr>
          <w:rFonts w:eastAsia="仿宋_GB2312"/>
          <w:bCs/>
        </w:rPr>
        <w:fldChar w:fldCharType="separate"/>
      </w:r>
      <w:r>
        <w:rPr>
          <w:rFonts w:hint="eastAsia"/>
          <w:bCs/>
          <w:kern w:val="44"/>
          <w:szCs w:val="30"/>
        </w:rPr>
        <w:t>附件</w:t>
      </w:r>
      <w:r>
        <w:rPr>
          <w:rFonts w:hint="eastAsia"/>
          <w:bCs/>
          <w:kern w:val="44"/>
          <w:szCs w:val="30"/>
          <w:lang w:val="en-US" w:eastAsia="zh-CN"/>
        </w:rPr>
        <w:t>3</w:t>
      </w:r>
      <w:r>
        <w:rPr>
          <w:rFonts w:hint="eastAsia"/>
          <w:bCs/>
          <w:kern w:val="44"/>
          <w:szCs w:val="30"/>
        </w:rPr>
        <w:t xml:space="preserve"> 建设单位营业执照</w:t>
      </w:r>
      <w:r>
        <w:tab/>
      </w:r>
      <w:r>
        <w:fldChar w:fldCharType="begin"/>
      </w:r>
      <w:r>
        <w:instrText xml:space="preserve"> PAGEREF _Toc29685 \h </w:instrText>
      </w:r>
      <w:r>
        <w:fldChar w:fldCharType="separate"/>
      </w:r>
      <w:r>
        <w:t>65</w:t>
      </w:r>
      <w:r>
        <w:fldChar w:fldCharType="end"/>
      </w:r>
      <w:r>
        <w:rPr>
          <w:rFonts w:eastAsia="仿宋_GB2312"/>
          <w:bCs/>
        </w:rPr>
        <w:fldChar w:fldCharType="end"/>
      </w:r>
    </w:p>
    <w:p w14:paraId="29D75AB4">
      <w:pPr>
        <w:pStyle w:val="21"/>
        <w:tabs>
          <w:tab w:val="right" w:leader="dot" w:pos="8844"/>
        </w:tabs>
      </w:pPr>
      <w:r>
        <w:rPr>
          <w:rFonts w:eastAsia="仿宋_GB2312"/>
          <w:bCs/>
        </w:rPr>
        <w:fldChar w:fldCharType="begin"/>
      </w:r>
      <w:r>
        <w:rPr>
          <w:rFonts w:eastAsia="仿宋_GB2312"/>
          <w:bCs/>
        </w:rPr>
        <w:instrText xml:space="preserve"> HYPERLINK \l _Toc6214 </w:instrText>
      </w:r>
      <w:r>
        <w:rPr>
          <w:rFonts w:eastAsia="仿宋_GB2312"/>
          <w:bCs/>
        </w:rPr>
        <w:fldChar w:fldCharType="separate"/>
      </w:r>
      <w:r>
        <w:rPr>
          <w:rFonts w:hint="eastAsia"/>
          <w:bCs/>
          <w:kern w:val="44"/>
          <w:szCs w:val="30"/>
        </w:rPr>
        <w:t>附件4 项目用地不动产权证</w:t>
      </w:r>
      <w:r>
        <w:tab/>
      </w:r>
      <w:r>
        <w:fldChar w:fldCharType="begin"/>
      </w:r>
      <w:r>
        <w:instrText xml:space="preserve"> PAGEREF _Toc6214 \h </w:instrText>
      </w:r>
      <w:r>
        <w:fldChar w:fldCharType="separate"/>
      </w:r>
      <w:r>
        <w:t>66</w:t>
      </w:r>
      <w:r>
        <w:fldChar w:fldCharType="end"/>
      </w:r>
      <w:r>
        <w:rPr>
          <w:rFonts w:eastAsia="仿宋_GB2312"/>
          <w:bCs/>
        </w:rPr>
        <w:fldChar w:fldCharType="end"/>
      </w:r>
    </w:p>
    <w:p w14:paraId="2533D74B">
      <w:pPr>
        <w:pStyle w:val="21"/>
        <w:tabs>
          <w:tab w:val="right" w:leader="dot" w:pos="8844"/>
        </w:tabs>
      </w:pPr>
      <w:r>
        <w:rPr>
          <w:rFonts w:eastAsia="仿宋_GB2312"/>
          <w:bCs/>
        </w:rPr>
        <w:fldChar w:fldCharType="begin"/>
      </w:r>
      <w:r>
        <w:rPr>
          <w:rFonts w:eastAsia="仿宋_GB2312"/>
          <w:bCs/>
        </w:rPr>
        <w:instrText xml:space="preserve"> HYPERLINK \l _Toc21170 </w:instrText>
      </w:r>
      <w:r>
        <w:rPr>
          <w:rFonts w:eastAsia="仿宋_GB2312"/>
          <w:bCs/>
        </w:rPr>
        <w:fldChar w:fldCharType="separate"/>
      </w:r>
      <w:r>
        <w:rPr>
          <w:rFonts w:hint="eastAsia"/>
          <w:bCs/>
          <w:kern w:val="44"/>
          <w:szCs w:val="30"/>
        </w:rPr>
        <w:t>附件</w:t>
      </w:r>
      <w:r>
        <w:rPr>
          <w:rFonts w:hint="eastAsia"/>
          <w:bCs/>
          <w:kern w:val="44"/>
          <w:szCs w:val="30"/>
          <w:lang w:val="en-US" w:eastAsia="zh-CN"/>
        </w:rPr>
        <w:t>5</w:t>
      </w:r>
      <w:r>
        <w:rPr>
          <w:rFonts w:hint="eastAsia"/>
          <w:bCs/>
          <w:kern w:val="44"/>
          <w:szCs w:val="30"/>
        </w:rPr>
        <w:t xml:space="preserve"> </w:t>
      </w:r>
      <w:r>
        <w:rPr>
          <w:bCs/>
          <w:kern w:val="44"/>
          <w:szCs w:val="30"/>
        </w:rPr>
        <w:t>建设单位法人身份证</w:t>
      </w:r>
      <w:r>
        <w:tab/>
      </w:r>
      <w:r>
        <w:fldChar w:fldCharType="begin"/>
      </w:r>
      <w:r>
        <w:instrText xml:space="preserve"> PAGEREF _Toc21170 \h </w:instrText>
      </w:r>
      <w:r>
        <w:fldChar w:fldCharType="separate"/>
      </w:r>
      <w:r>
        <w:t>69</w:t>
      </w:r>
      <w:r>
        <w:fldChar w:fldCharType="end"/>
      </w:r>
      <w:r>
        <w:rPr>
          <w:rFonts w:eastAsia="仿宋_GB2312"/>
          <w:bCs/>
        </w:rPr>
        <w:fldChar w:fldCharType="end"/>
      </w:r>
    </w:p>
    <w:p w14:paraId="2102D685">
      <w:pPr>
        <w:pStyle w:val="21"/>
        <w:tabs>
          <w:tab w:val="right" w:leader="dot" w:pos="8844"/>
        </w:tabs>
      </w:pPr>
      <w:r>
        <w:rPr>
          <w:rFonts w:eastAsia="仿宋_GB2312"/>
          <w:bCs/>
        </w:rPr>
        <w:fldChar w:fldCharType="begin"/>
      </w:r>
      <w:r>
        <w:rPr>
          <w:rFonts w:eastAsia="仿宋_GB2312"/>
          <w:bCs/>
        </w:rPr>
        <w:instrText xml:space="preserve"> HYPERLINK \l _Toc29635 </w:instrText>
      </w:r>
      <w:r>
        <w:rPr>
          <w:rFonts w:eastAsia="仿宋_GB2312"/>
          <w:bCs/>
        </w:rPr>
        <w:fldChar w:fldCharType="separate"/>
      </w:r>
      <w:r>
        <w:rPr>
          <w:rFonts w:hint="eastAsia"/>
          <w:bCs/>
          <w:kern w:val="44"/>
          <w:szCs w:val="30"/>
        </w:rPr>
        <w:t>附件</w:t>
      </w:r>
      <w:r>
        <w:rPr>
          <w:rFonts w:hint="eastAsia"/>
          <w:bCs/>
          <w:kern w:val="44"/>
          <w:szCs w:val="30"/>
          <w:lang w:val="en-US" w:eastAsia="zh-CN"/>
        </w:rPr>
        <w:t>6</w:t>
      </w:r>
      <w:r>
        <w:rPr>
          <w:bCs/>
          <w:kern w:val="44"/>
          <w:szCs w:val="30"/>
        </w:rPr>
        <w:t xml:space="preserve"> </w:t>
      </w:r>
      <w:r>
        <w:rPr>
          <w:rFonts w:hint="eastAsia"/>
          <w:bCs/>
          <w:kern w:val="44"/>
          <w:szCs w:val="30"/>
        </w:rPr>
        <w:t>租赁合同</w:t>
      </w:r>
      <w:r>
        <w:tab/>
      </w:r>
      <w:r>
        <w:fldChar w:fldCharType="begin"/>
      </w:r>
      <w:r>
        <w:instrText xml:space="preserve"> PAGEREF _Toc29635 \h </w:instrText>
      </w:r>
      <w:r>
        <w:fldChar w:fldCharType="separate"/>
      </w:r>
      <w:r>
        <w:t>70</w:t>
      </w:r>
      <w:r>
        <w:fldChar w:fldCharType="end"/>
      </w:r>
      <w:r>
        <w:rPr>
          <w:rFonts w:eastAsia="仿宋_GB2312"/>
          <w:bCs/>
        </w:rPr>
        <w:fldChar w:fldCharType="end"/>
      </w:r>
    </w:p>
    <w:p w14:paraId="0BFBE1A8">
      <w:pPr>
        <w:pStyle w:val="21"/>
        <w:tabs>
          <w:tab w:val="right" w:leader="dot" w:pos="8844"/>
        </w:tabs>
      </w:pPr>
      <w:r>
        <w:rPr>
          <w:rFonts w:eastAsia="仿宋_GB2312"/>
          <w:bCs/>
        </w:rPr>
        <w:fldChar w:fldCharType="begin"/>
      </w:r>
      <w:r>
        <w:rPr>
          <w:rFonts w:eastAsia="仿宋_GB2312"/>
          <w:bCs/>
        </w:rPr>
        <w:instrText xml:space="preserve"> HYPERLINK \l _Toc3140 </w:instrText>
      </w:r>
      <w:r>
        <w:rPr>
          <w:rFonts w:eastAsia="仿宋_GB2312"/>
          <w:bCs/>
        </w:rPr>
        <w:fldChar w:fldCharType="separate"/>
      </w:r>
      <w:r>
        <w:rPr>
          <w:rFonts w:hint="eastAsia"/>
        </w:rPr>
        <w:t>附件7</w:t>
      </w:r>
      <w:r>
        <w:t xml:space="preserve"> </w:t>
      </w:r>
      <w:r>
        <w:rPr>
          <w:rFonts w:hint="eastAsia"/>
        </w:rPr>
        <w:t>福州倍丰实业有限公司（2025年11月份）环境检测报告</w:t>
      </w:r>
      <w:r>
        <w:tab/>
      </w:r>
      <w:r>
        <w:fldChar w:fldCharType="begin"/>
      </w:r>
      <w:r>
        <w:instrText xml:space="preserve"> PAGEREF _Toc3140 \h </w:instrText>
      </w:r>
      <w:r>
        <w:fldChar w:fldCharType="separate"/>
      </w:r>
      <w:r>
        <w:t>73</w:t>
      </w:r>
      <w:r>
        <w:fldChar w:fldCharType="end"/>
      </w:r>
      <w:r>
        <w:rPr>
          <w:rFonts w:eastAsia="仿宋_GB2312"/>
          <w:bCs/>
        </w:rPr>
        <w:fldChar w:fldCharType="end"/>
      </w:r>
    </w:p>
    <w:p w14:paraId="175BCDA6">
      <w:pPr>
        <w:pStyle w:val="21"/>
        <w:tabs>
          <w:tab w:val="right" w:leader="dot" w:pos="8844"/>
        </w:tabs>
      </w:pPr>
      <w:r>
        <w:rPr>
          <w:rFonts w:eastAsia="仿宋_GB2312"/>
          <w:bCs/>
        </w:rPr>
        <w:fldChar w:fldCharType="begin"/>
      </w:r>
      <w:r>
        <w:rPr>
          <w:rFonts w:eastAsia="仿宋_GB2312"/>
          <w:bCs/>
        </w:rPr>
        <w:instrText xml:space="preserve"> HYPERLINK \l _Toc18832 </w:instrText>
      </w:r>
      <w:r>
        <w:rPr>
          <w:rFonts w:eastAsia="仿宋_GB2312"/>
          <w:bCs/>
        </w:rPr>
        <w:fldChar w:fldCharType="separate"/>
      </w:r>
      <w:r>
        <w:rPr>
          <w:rFonts w:hint="eastAsia"/>
        </w:rPr>
        <w:t>附件</w:t>
      </w:r>
      <w:r>
        <w:rPr>
          <w:rFonts w:hint="eastAsia"/>
          <w:lang w:val="en-US" w:eastAsia="zh-CN"/>
        </w:rPr>
        <w:t>8 生活污水依托协议</w:t>
      </w:r>
      <w:r>
        <w:tab/>
      </w:r>
      <w:r>
        <w:fldChar w:fldCharType="begin"/>
      </w:r>
      <w:r>
        <w:instrText xml:space="preserve"> PAGEREF _Toc18832 \h </w:instrText>
      </w:r>
      <w:r>
        <w:fldChar w:fldCharType="separate"/>
      </w:r>
      <w:r>
        <w:t>81</w:t>
      </w:r>
      <w:r>
        <w:fldChar w:fldCharType="end"/>
      </w:r>
      <w:r>
        <w:rPr>
          <w:rFonts w:eastAsia="仿宋_GB2312"/>
          <w:bCs/>
        </w:rPr>
        <w:fldChar w:fldCharType="end"/>
      </w:r>
    </w:p>
    <w:p w14:paraId="7E4821C1">
      <w:pPr>
        <w:pStyle w:val="21"/>
        <w:tabs>
          <w:tab w:val="right" w:leader="dot" w:pos="8844"/>
        </w:tabs>
      </w:pPr>
      <w:r>
        <w:rPr>
          <w:rFonts w:eastAsia="仿宋_GB2312"/>
          <w:bCs/>
        </w:rPr>
        <w:fldChar w:fldCharType="begin"/>
      </w:r>
      <w:r>
        <w:rPr>
          <w:rFonts w:eastAsia="仿宋_GB2312"/>
          <w:bCs/>
        </w:rPr>
        <w:instrText xml:space="preserve"> HYPERLINK \l _Toc20336 </w:instrText>
      </w:r>
      <w:r>
        <w:rPr>
          <w:rFonts w:eastAsia="仿宋_GB2312"/>
          <w:bCs/>
        </w:rPr>
        <w:fldChar w:fldCharType="separate"/>
      </w:r>
      <w:r>
        <w:rPr>
          <w:rFonts w:hint="default" w:eastAsia="宋体"/>
          <w:lang w:val="en-US" w:eastAsia="zh-CN"/>
        </w:rPr>
        <w:t>附件</w:t>
      </w:r>
      <w:r>
        <w:rPr>
          <w:rFonts w:hint="eastAsia" w:eastAsia="宋体"/>
          <w:lang w:val="en-US" w:eastAsia="zh-CN"/>
        </w:rPr>
        <w:t>9</w:t>
      </w:r>
      <w:r>
        <w:rPr>
          <w:rFonts w:hint="default" w:eastAsia="宋体"/>
          <w:lang w:val="en-US" w:eastAsia="zh-CN"/>
        </w:rPr>
        <w:t xml:space="preserve"> </w:t>
      </w:r>
      <w:r>
        <w:rPr>
          <w:rFonts w:hint="eastAsia" w:eastAsia="宋体"/>
          <w:lang w:val="en-US" w:eastAsia="zh-CN"/>
        </w:rPr>
        <w:t>出租方纳管证明</w:t>
      </w:r>
      <w:r>
        <w:tab/>
      </w:r>
      <w:r>
        <w:fldChar w:fldCharType="begin"/>
      </w:r>
      <w:r>
        <w:instrText xml:space="preserve"> PAGEREF _Toc20336 \h </w:instrText>
      </w:r>
      <w:r>
        <w:fldChar w:fldCharType="separate"/>
      </w:r>
      <w:r>
        <w:t>82</w:t>
      </w:r>
      <w:r>
        <w:fldChar w:fldCharType="end"/>
      </w:r>
      <w:r>
        <w:rPr>
          <w:rFonts w:eastAsia="仿宋_GB2312"/>
          <w:bCs/>
        </w:rPr>
        <w:fldChar w:fldCharType="end"/>
      </w:r>
    </w:p>
    <w:p w14:paraId="6541A1B2">
      <w:pPr>
        <w:pStyle w:val="21"/>
        <w:tabs>
          <w:tab w:val="right" w:leader="dot" w:pos="8844"/>
        </w:tabs>
      </w:pPr>
      <w:r>
        <w:rPr>
          <w:rFonts w:eastAsia="仿宋_GB2312"/>
          <w:bCs/>
        </w:rPr>
        <w:fldChar w:fldCharType="begin"/>
      </w:r>
      <w:r>
        <w:rPr>
          <w:rFonts w:eastAsia="仿宋_GB2312"/>
          <w:bCs/>
        </w:rPr>
        <w:instrText xml:space="preserve"> HYPERLINK \l _Toc19958 </w:instrText>
      </w:r>
      <w:r>
        <w:rPr>
          <w:rFonts w:eastAsia="仿宋_GB2312"/>
          <w:bCs/>
        </w:rPr>
        <w:fldChar w:fldCharType="separate"/>
      </w:r>
      <w:r>
        <w:rPr>
          <w:rFonts w:hint="eastAsia" w:ascii="Times New Roman" w:hAnsi="Times New Roman" w:eastAsia="宋体" w:cs="Times New Roman"/>
          <w:highlight w:val="none"/>
          <w:lang w:val="en-US" w:eastAsia="zh-CN"/>
        </w:rPr>
        <w:t>附件1</w:t>
      </w:r>
      <w:r>
        <w:rPr>
          <w:rFonts w:hint="eastAsia" w:cs="Times New Roman"/>
          <w:highlight w:val="none"/>
          <w:lang w:val="en-US" w:eastAsia="zh-CN"/>
        </w:rPr>
        <w:t>0</w:t>
      </w:r>
      <w:r>
        <w:rPr>
          <w:rFonts w:hint="eastAsia" w:ascii="Times New Roman" w:hAnsi="Times New Roman" w:eastAsia="宋体" w:cs="Times New Roman"/>
          <w:highlight w:val="none"/>
          <w:lang w:val="en-US" w:eastAsia="zh-CN"/>
        </w:rPr>
        <w:t xml:space="preserve"> 公开建设项目环评信息情况的说明</w:t>
      </w:r>
      <w:r>
        <w:tab/>
      </w:r>
      <w:r>
        <w:fldChar w:fldCharType="begin"/>
      </w:r>
      <w:r>
        <w:instrText xml:space="preserve"> PAGEREF _Toc19958 \h </w:instrText>
      </w:r>
      <w:r>
        <w:fldChar w:fldCharType="separate"/>
      </w:r>
      <w:r>
        <w:t>83</w:t>
      </w:r>
      <w:r>
        <w:fldChar w:fldCharType="end"/>
      </w:r>
      <w:r>
        <w:rPr>
          <w:rFonts w:eastAsia="仿宋_GB2312"/>
          <w:bCs/>
        </w:rPr>
        <w:fldChar w:fldCharType="end"/>
      </w:r>
    </w:p>
    <w:p w14:paraId="0A07BD24">
      <w:pPr>
        <w:pStyle w:val="21"/>
        <w:tabs>
          <w:tab w:val="right" w:leader="dot" w:pos="8844"/>
        </w:tabs>
      </w:pPr>
      <w:r>
        <w:rPr>
          <w:rFonts w:eastAsia="仿宋_GB2312"/>
          <w:bCs/>
        </w:rPr>
        <w:fldChar w:fldCharType="begin"/>
      </w:r>
      <w:r>
        <w:rPr>
          <w:rFonts w:eastAsia="仿宋_GB2312"/>
          <w:bCs/>
        </w:rPr>
        <w:instrText xml:space="preserve"> HYPERLINK \l _Toc1443 </w:instrText>
      </w:r>
      <w:r>
        <w:rPr>
          <w:rFonts w:eastAsia="仿宋_GB2312"/>
          <w:bCs/>
        </w:rPr>
        <w:fldChar w:fldCharType="separate"/>
      </w:r>
      <w:r>
        <w:rPr>
          <w:rFonts w:hint="eastAsia"/>
          <w:lang w:val="en-US" w:eastAsia="zh-CN"/>
        </w:rPr>
        <w:t>附件11 涉密说明</w:t>
      </w:r>
      <w:r>
        <w:tab/>
      </w:r>
      <w:r>
        <w:fldChar w:fldCharType="begin"/>
      </w:r>
      <w:r>
        <w:instrText xml:space="preserve"> PAGEREF _Toc1443 \h </w:instrText>
      </w:r>
      <w:r>
        <w:fldChar w:fldCharType="separate"/>
      </w:r>
      <w:r>
        <w:t>84</w:t>
      </w:r>
      <w:r>
        <w:fldChar w:fldCharType="end"/>
      </w:r>
      <w:r>
        <w:rPr>
          <w:rFonts w:eastAsia="仿宋_GB2312"/>
          <w:bCs/>
        </w:rPr>
        <w:fldChar w:fldCharType="end"/>
      </w:r>
    </w:p>
    <w:p w14:paraId="65F28C74">
      <w:pPr>
        <w:pStyle w:val="21"/>
        <w:tabs>
          <w:tab w:val="right" w:leader="dot" w:pos="8844"/>
        </w:tabs>
      </w:pPr>
      <w:r>
        <w:rPr>
          <w:rFonts w:eastAsia="仿宋_GB2312"/>
          <w:bCs/>
        </w:rPr>
        <w:fldChar w:fldCharType="begin"/>
      </w:r>
      <w:r>
        <w:rPr>
          <w:rFonts w:eastAsia="仿宋_GB2312"/>
          <w:bCs/>
        </w:rPr>
        <w:instrText xml:space="preserve"> HYPERLINK \l _Toc22987 </w:instrText>
      </w:r>
      <w:r>
        <w:rPr>
          <w:rFonts w:eastAsia="仿宋_GB2312"/>
          <w:bCs/>
        </w:rPr>
        <w:fldChar w:fldCharType="separate"/>
      </w:r>
      <w:r>
        <w:rPr>
          <w:rFonts w:hint="eastAsia"/>
          <w:lang w:val="en-US" w:eastAsia="zh-CN"/>
        </w:rPr>
        <w:t>附件12 申请环评批复报告</w:t>
      </w:r>
      <w:r>
        <w:tab/>
      </w:r>
      <w:r>
        <w:fldChar w:fldCharType="begin"/>
      </w:r>
      <w:r>
        <w:instrText xml:space="preserve"> PAGEREF _Toc22987 \h </w:instrText>
      </w:r>
      <w:r>
        <w:fldChar w:fldCharType="separate"/>
      </w:r>
      <w:r>
        <w:t>86</w:t>
      </w:r>
      <w:r>
        <w:fldChar w:fldCharType="end"/>
      </w:r>
      <w:r>
        <w:rPr>
          <w:rFonts w:eastAsia="仿宋_GB2312"/>
          <w:bCs/>
        </w:rPr>
        <w:fldChar w:fldCharType="end"/>
      </w:r>
    </w:p>
    <w:p w14:paraId="454E0D20">
      <w:pPr>
        <w:pStyle w:val="21"/>
        <w:tabs>
          <w:tab w:val="right" w:leader="dot" w:pos="8844"/>
        </w:tabs>
      </w:pPr>
      <w:r>
        <w:rPr>
          <w:rFonts w:eastAsia="仿宋_GB2312"/>
          <w:bCs/>
        </w:rPr>
        <w:fldChar w:fldCharType="begin"/>
      </w:r>
      <w:r>
        <w:rPr>
          <w:rFonts w:eastAsia="仿宋_GB2312"/>
          <w:bCs/>
        </w:rPr>
        <w:instrText xml:space="preserve"> HYPERLINK \l _Toc27897 </w:instrText>
      </w:r>
      <w:r>
        <w:rPr>
          <w:rFonts w:eastAsia="仿宋_GB2312"/>
          <w:bCs/>
        </w:rPr>
        <w:fldChar w:fldCharType="separate"/>
      </w:r>
      <w:r>
        <w:rPr>
          <w:rFonts w:hint="eastAsia"/>
          <w:lang w:val="en-US" w:eastAsia="zh-CN"/>
        </w:rPr>
        <w:t>附件13 专家评审意见及复审意见</w:t>
      </w:r>
      <w:r>
        <w:tab/>
      </w:r>
      <w:r>
        <w:fldChar w:fldCharType="begin"/>
      </w:r>
      <w:r>
        <w:instrText xml:space="preserve"> PAGEREF _Toc27897 \h </w:instrText>
      </w:r>
      <w:r>
        <w:fldChar w:fldCharType="separate"/>
      </w:r>
      <w:r>
        <w:t>87</w:t>
      </w:r>
      <w:r>
        <w:fldChar w:fldCharType="end"/>
      </w:r>
      <w:r>
        <w:rPr>
          <w:rFonts w:eastAsia="仿宋_GB2312"/>
          <w:bCs/>
        </w:rPr>
        <w:fldChar w:fldCharType="end"/>
      </w:r>
    </w:p>
    <w:p w14:paraId="2C4E12C1">
      <w:pPr>
        <w:pStyle w:val="21"/>
        <w:tabs>
          <w:tab w:val="right" w:leader="dot" w:pos="8844"/>
        </w:tabs>
      </w:pPr>
      <w:r>
        <w:rPr>
          <w:rFonts w:eastAsia="仿宋_GB2312"/>
          <w:bCs/>
        </w:rPr>
        <w:fldChar w:fldCharType="begin"/>
      </w:r>
      <w:r>
        <w:rPr>
          <w:rFonts w:eastAsia="仿宋_GB2312"/>
          <w:bCs/>
        </w:rPr>
        <w:instrText xml:space="preserve"> HYPERLINK \l _Toc16626 </w:instrText>
      </w:r>
      <w:r>
        <w:rPr>
          <w:rFonts w:eastAsia="仿宋_GB2312"/>
          <w:bCs/>
        </w:rPr>
        <w:fldChar w:fldCharType="separate"/>
      </w:r>
      <w:r>
        <w:rPr>
          <w:rFonts w:hint="eastAsia"/>
          <w:bCs/>
          <w:kern w:val="44"/>
          <w:szCs w:val="30"/>
        </w:rPr>
        <w:t>附件</w:t>
      </w:r>
      <w:r>
        <w:rPr>
          <w:rFonts w:hint="eastAsia"/>
          <w:bCs/>
          <w:kern w:val="44"/>
          <w:szCs w:val="30"/>
          <w:lang w:val="en-US" w:eastAsia="zh-CN"/>
        </w:rPr>
        <w:t>14</w:t>
      </w:r>
      <w:r>
        <w:rPr>
          <w:bCs/>
          <w:kern w:val="44"/>
          <w:szCs w:val="30"/>
        </w:rPr>
        <w:t xml:space="preserve"> </w:t>
      </w:r>
      <w:r>
        <w:rPr>
          <w:rFonts w:hint="eastAsia"/>
          <w:bCs/>
          <w:kern w:val="44"/>
          <w:szCs w:val="30"/>
          <w:lang w:eastAsia="zh-CN"/>
        </w:rPr>
        <w:t>福建省生态环境分区管控综合查询报告</w:t>
      </w:r>
      <w:r>
        <w:tab/>
      </w:r>
      <w:r>
        <w:fldChar w:fldCharType="begin"/>
      </w:r>
      <w:r>
        <w:instrText xml:space="preserve"> PAGEREF _Toc16626 \h </w:instrText>
      </w:r>
      <w:r>
        <w:fldChar w:fldCharType="separate"/>
      </w:r>
      <w:r>
        <w:t>91</w:t>
      </w:r>
      <w:r>
        <w:fldChar w:fldCharType="end"/>
      </w:r>
      <w:r>
        <w:rPr>
          <w:rFonts w:eastAsia="仿宋_GB2312"/>
          <w:bCs/>
        </w:rPr>
        <w:fldChar w:fldCharType="end"/>
      </w:r>
    </w:p>
    <w:p w14:paraId="2676C9EC">
      <w:pPr>
        <w:pStyle w:val="21"/>
        <w:tabs>
          <w:tab w:val="right" w:leader="dot" w:pos="8844"/>
        </w:tabs>
      </w:pPr>
      <w:r>
        <w:rPr>
          <w:rFonts w:eastAsia="仿宋_GB2312"/>
          <w:bCs/>
        </w:rPr>
        <w:fldChar w:fldCharType="begin"/>
      </w:r>
      <w:r>
        <w:rPr>
          <w:rFonts w:eastAsia="仿宋_GB2312"/>
          <w:bCs/>
        </w:rPr>
        <w:instrText xml:space="preserve"> HYPERLINK \l _Toc10029 </w:instrText>
      </w:r>
      <w:r>
        <w:rPr>
          <w:rFonts w:eastAsia="仿宋_GB2312"/>
          <w:bCs/>
        </w:rPr>
        <w:fldChar w:fldCharType="separate"/>
      </w:r>
      <w:r>
        <w:rPr>
          <w:rFonts w:hint="eastAsia"/>
        </w:rPr>
        <w:t>附件</w:t>
      </w:r>
      <w:r>
        <w:rPr>
          <w:rFonts w:hint="eastAsia"/>
          <w:lang w:val="en-US" w:eastAsia="zh-CN"/>
        </w:rPr>
        <w:t>15</w:t>
      </w:r>
      <w:r>
        <w:t xml:space="preserve"> </w:t>
      </w:r>
      <w:r>
        <w:rPr>
          <w:rFonts w:hint="eastAsia" w:ascii="Times New Roman" w:hAnsi="Times New Roman" w:eastAsia="宋体" w:cs="Times New Roman"/>
          <w:bCs/>
          <w:highlight w:val="none"/>
          <w:lang w:val="en-US" w:eastAsia="zh-CN"/>
        </w:rPr>
        <w:t>出租方环评审批意见</w:t>
      </w:r>
      <w:r>
        <w:tab/>
      </w:r>
      <w:r>
        <w:fldChar w:fldCharType="begin"/>
      </w:r>
      <w:r>
        <w:instrText xml:space="preserve"> PAGEREF _Toc10029 \h </w:instrText>
      </w:r>
      <w:r>
        <w:fldChar w:fldCharType="separate"/>
      </w:r>
      <w:r>
        <w:t>97</w:t>
      </w:r>
      <w:r>
        <w:fldChar w:fldCharType="end"/>
      </w:r>
      <w:r>
        <w:rPr>
          <w:rFonts w:eastAsia="仿宋_GB2312"/>
          <w:bCs/>
        </w:rPr>
        <w:fldChar w:fldCharType="end"/>
      </w:r>
    </w:p>
    <w:p w14:paraId="76903F3C">
      <w:pPr>
        <w:spacing w:line="400" w:lineRule="exact"/>
        <w:ind w:firstLine="0" w:firstLineChars="0"/>
        <w:jc w:val="center"/>
        <w:outlineLvl w:val="0"/>
        <w:rPr>
          <w:rFonts w:eastAsia="仿宋_GB2312"/>
          <w:bCs/>
        </w:rPr>
        <w:sectPr>
          <w:pgSz w:w="11906" w:h="16838"/>
          <w:pgMar w:top="1417" w:right="1531" w:bottom="1417" w:left="1531" w:header="851" w:footer="1077" w:gutter="0"/>
          <w:pgNumType w:start="1"/>
          <w:cols w:space="720" w:num="1"/>
          <w:docGrid w:linePitch="312" w:charSpace="0"/>
        </w:sectPr>
      </w:pPr>
      <w:r>
        <w:rPr>
          <w:rFonts w:eastAsia="仿宋_GB2312"/>
          <w:bCs/>
        </w:rPr>
        <w:fldChar w:fldCharType="end"/>
      </w:r>
    </w:p>
    <w:p w14:paraId="76F05781">
      <w:pPr>
        <w:spacing w:line="400" w:lineRule="exact"/>
        <w:ind w:firstLine="0" w:firstLineChars="0"/>
        <w:jc w:val="center"/>
        <w:outlineLvl w:val="0"/>
        <w:rPr>
          <w:rFonts w:eastAsia="黑体"/>
          <w:snapToGrid w:val="0"/>
          <w:sz w:val="30"/>
          <w:szCs w:val="30"/>
        </w:rPr>
      </w:pPr>
      <w:bookmarkStart w:id="1" w:name="_Toc622"/>
      <w:bookmarkStart w:id="2" w:name="_Toc29742"/>
      <w:r>
        <w:rPr>
          <w:b/>
          <w:bCs/>
          <w:kern w:val="44"/>
          <w:sz w:val="32"/>
          <w:szCs w:val="30"/>
        </w:rPr>
        <w:t>一、建设项目基本情况</w:t>
      </w:r>
      <w:bookmarkEnd w:id="1"/>
      <w:bookmarkEnd w:id="2"/>
    </w:p>
    <w:tbl>
      <w:tblPr>
        <w:tblStyle w:val="30"/>
        <w:tblW w:w="889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13"/>
        <w:gridCol w:w="2235"/>
        <w:gridCol w:w="1918"/>
        <w:gridCol w:w="365"/>
        <w:gridCol w:w="2639"/>
        <w:gridCol w:w="29"/>
      </w:tblGrid>
      <w:tr w14:paraId="373292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497" w:hRule="atLeast"/>
          <w:jc w:val="center"/>
        </w:trPr>
        <w:tc>
          <w:tcPr>
            <w:tcW w:w="1713" w:type="dxa"/>
            <w:tcMar>
              <w:top w:w="16" w:type="dxa"/>
              <w:left w:w="16" w:type="dxa"/>
              <w:right w:w="16" w:type="dxa"/>
            </w:tcMar>
            <w:vAlign w:val="center"/>
          </w:tcPr>
          <w:p w14:paraId="1C071441">
            <w:pPr>
              <w:adjustRightInd w:val="0"/>
              <w:snapToGrid w:val="0"/>
              <w:spacing w:line="240" w:lineRule="auto"/>
              <w:ind w:firstLine="0" w:firstLineChars="0"/>
              <w:jc w:val="center"/>
            </w:pPr>
            <w:r>
              <w:t>建设项目名称</w:t>
            </w:r>
          </w:p>
        </w:tc>
        <w:tc>
          <w:tcPr>
            <w:tcW w:w="7157" w:type="dxa"/>
            <w:gridSpan w:val="4"/>
            <w:vAlign w:val="center"/>
          </w:tcPr>
          <w:p w14:paraId="55CDA098">
            <w:pPr>
              <w:adjustRightInd w:val="0"/>
              <w:snapToGrid w:val="0"/>
              <w:spacing w:line="240" w:lineRule="auto"/>
              <w:ind w:firstLine="0" w:firstLineChars="0"/>
              <w:jc w:val="center"/>
            </w:pPr>
            <w:bookmarkStart w:id="31" w:name="_GoBack"/>
            <w:r>
              <w:rPr>
                <w:rFonts w:hint="eastAsia"/>
              </w:rPr>
              <w:t>福建省迈客邦建材有限公司年产30000吨干粉砂浆项目</w:t>
            </w:r>
            <w:bookmarkEnd w:id="31"/>
          </w:p>
        </w:tc>
      </w:tr>
      <w:tr w14:paraId="76BB73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497" w:hRule="atLeast"/>
          <w:jc w:val="center"/>
        </w:trPr>
        <w:tc>
          <w:tcPr>
            <w:tcW w:w="1713" w:type="dxa"/>
            <w:tcMar>
              <w:top w:w="16" w:type="dxa"/>
              <w:left w:w="16" w:type="dxa"/>
              <w:right w:w="16" w:type="dxa"/>
            </w:tcMar>
            <w:vAlign w:val="center"/>
          </w:tcPr>
          <w:p w14:paraId="22618EE3">
            <w:pPr>
              <w:adjustRightInd w:val="0"/>
              <w:snapToGrid w:val="0"/>
              <w:spacing w:line="240" w:lineRule="auto"/>
              <w:ind w:firstLine="0" w:firstLineChars="0"/>
              <w:jc w:val="center"/>
            </w:pPr>
            <w:r>
              <w:t>项目代码</w:t>
            </w:r>
          </w:p>
        </w:tc>
        <w:tc>
          <w:tcPr>
            <w:tcW w:w="7157" w:type="dxa"/>
            <w:gridSpan w:val="4"/>
            <w:vAlign w:val="center"/>
          </w:tcPr>
          <w:p w14:paraId="6F8A3CD2">
            <w:pPr>
              <w:adjustRightInd w:val="0"/>
              <w:snapToGrid w:val="0"/>
              <w:spacing w:line="240" w:lineRule="auto"/>
              <w:ind w:firstLine="0" w:firstLineChars="0"/>
              <w:jc w:val="center"/>
            </w:pPr>
            <w:r>
              <w:rPr>
                <w:rFonts w:hint="eastAsia"/>
              </w:rPr>
              <w:t>2602-350121-04-01-172632</w:t>
            </w:r>
          </w:p>
        </w:tc>
      </w:tr>
      <w:tr w14:paraId="676349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497" w:hRule="atLeast"/>
          <w:jc w:val="center"/>
        </w:trPr>
        <w:tc>
          <w:tcPr>
            <w:tcW w:w="1713" w:type="dxa"/>
            <w:tcMar>
              <w:top w:w="16" w:type="dxa"/>
              <w:left w:w="16" w:type="dxa"/>
              <w:right w:w="16" w:type="dxa"/>
            </w:tcMar>
            <w:vAlign w:val="center"/>
          </w:tcPr>
          <w:p w14:paraId="20753DBC">
            <w:pPr>
              <w:adjustRightInd w:val="0"/>
              <w:snapToGrid w:val="0"/>
              <w:spacing w:line="240" w:lineRule="auto"/>
              <w:ind w:firstLine="0" w:firstLineChars="0"/>
              <w:jc w:val="center"/>
            </w:pPr>
            <w:r>
              <w:t>建设单位联系人</w:t>
            </w:r>
          </w:p>
        </w:tc>
        <w:tc>
          <w:tcPr>
            <w:tcW w:w="2235" w:type="dxa"/>
            <w:vAlign w:val="center"/>
          </w:tcPr>
          <w:p w14:paraId="00969927">
            <w:pPr>
              <w:adjustRightInd w:val="0"/>
              <w:snapToGrid w:val="0"/>
              <w:spacing w:line="240" w:lineRule="auto"/>
              <w:ind w:firstLine="0" w:firstLineChars="0"/>
              <w:jc w:val="center"/>
            </w:pPr>
            <w:r>
              <w:rPr>
                <w:rFonts w:hint="eastAsia"/>
              </w:rPr>
              <w:t>赵金</w:t>
            </w:r>
          </w:p>
        </w:tc>
        <w:tc>
          <w:tcPr>
            <w:tcW w:w="2283" w:type="dxa"/>
            <w:gridSpan w:val="2"/>
            <w:vAlign w:val="center"/>
          </w:tcPr>
          <w:p w14:paraId="27B32756">
            <w:pPr>
              <w:adjustRightInd w:val="0"/>
              <w:snapToGrid w:val="0"/>
              <w:spacing w:line="240" w:lineRule="auto"/>
              <w:ind w:firstLine="0" w:firstLineChars="0"/>
              <w:jc w:val="center"/>
            </w:pPr>
            <w:r>
              <w:t>联系方式</w:t>
            </w:r>
          </w:p>
        </w:tc>
        <w:tc>
          <w:tcPr>
            <w:tcW w:w="2639" w:type="dxa"/>
            <w:vAlign w:val="center"/>
          </w:tcPr>
          <w:p w14:paraId="19A9F26C">
            <w:pPr>
              <w:adjustRightInd w:val="0"/>
              <w:snapToGrid w:val="0"/>
              <w:spacing w:line="240" w:lineRule="auto"/>
              <w:ind w:firstLine="0" w:firstLineChars="0"/>
              <w:jc w:val="center"/>
            </w:pPr>
            <w:r>
              <w:rPr>
                <w:rFonts w:hint="eastAsia"/>
              </w:rPr>
              <w:t>186</w:t>
            </w:r>
            <w:r>
              <w:rPr>
                <w:rFonts w:hint="eastAsia"/>
                <w:lang w:val="en-US" w:eastAsia="zh-CN"/>
              </w:rPr>
              <w:t>****</w:t>
            </w:r>
            <w:r>
              <w:rPr>
                <w:rFonts w:hint="eastAsia"/>
              </w:rPr>
              <w:t>1100</w:t>
            </w:r>
          </w:p>
        </w:tc>
      </w:tr>
      <w:tr w14:paraId="1A4383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497" w:hRule="atLeast"/>
          <w:jc w:val="center"/>
        </w:trPr>
        <w:tc>
          <w:tcPr>
            <w:tcW w:w="1713" w:type="dxa"/>
            <w:tcMar>
              <w:top w:w="16" w:type="dxa"/>
              <w:left w:w="16" w:type="dxa"/>
              <w:right w:w="16" w:type="dxa"/>
            </w:tcMar>
            <w:vAlign w:val="center"/>
          </w:tcPr>
          <w:p w14:paraId="756207E2">
            <w:pPr>
              <w:adjustRightInd w:val="0"/>
              <w:snapToGrid w:val="0"/>
              <w:spacing w:line="240" w:lineRule="auto"/>
              <w:ind w:firstLine="0" w:firstLineChars="0"/>
              <w:jc w:val="center"/>
            </w:pPr>
            <w:r>
              <w:t>建设地点</w:t>
            </w:r>
          </w:p>
        </w:tc>
        <w:tc>
          <w:tcPr>
            <w:tcW w:w="7157" w:type="dxa"/>
            <w:gridSpan w:val="4"/>
            <w:vAlign w:val="center"/>
          </w:tcPr>
          <w:p w14:paraId="45DF032B">
            <w:pPr>
              <w:adjustRightInd w:val="0"/>
              <w:snapToGrid w:val="0"/>
              <w:spacing w:line="240" w:lineRule="auto"/>
              <w:ind w:firstLine="0" w:firstLineChars="0"/>
              <w:jc w:val="center"/>
            </w:pPr>
            <w:r>
              <w:rPr>
                <w:rFonts w:hint="eastAsia"/>
              </w:rPr>
              <w:t>福建省福州市</w:t>
            </w:r>
            <w:r>
              <w:t>闽侯县甘蔗街道</w:t>
            </w:r>
            <w:r>
              <w:rPr>
                <w:rFonts w:hint="eastAsia"/>
              </w:rPr>
              <w:t>陈店湖</w:t>
            </w:r>
            <w:r>
              <w:t>路</w:t>
            </w:r>
            <w:r>
              <w:rPr>
                <w:rFonts w:hint="eastAsia"/>
              </w:rPr>
              <w:t>1</w:t>
            </w:r>
            <w:r>
              <w:t>8号</w:t>
            </w:r>
          </w:p>
        </w:tc>
      </w:tr>
      <w:tr w14:paraId="18BE96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497" w:hRule="atLeast"/>
          <w:jc w:val="center"/>
        </w:trPr>
        <w:tc>
          <w:tcPr>
            <w:tcW w:w="1713" w:type="dxa"/>
            <w:tcMar>
              <w:top w:w="16" w:type="dxa"/>
              <w:left w:w="16" w:type="dxa"/>
              <w:right w:w="16" w:type="dxa"/>
            </w:tcMar>
            <w:vAlign w:val="center"/>
          </w:tcPr>
          <w:p w14:paraId="67B2A78A">
            <w:pPr>
              <w:adjustRightInd w:val="0"/>
              <w:snapToGrid w:val="0"/>
              <w:spacing w:line="240" w:lineRule="auto"/>
              <w:ind w:firstLine="0" w:firstLineChars="0"/>
              <w:jc w:val="center"/>
            </w:pPr>
            <w:r>
              <w:t>地理坐标</w:t>
            </w:r>
          </w:p>
        </w:tc>
        <w:tc>
          <w:tcPr>
            <w:tcW w:w="7157" w:type="dxa"/>
            <w:gridSpan w:val="4"/>
            <w:vAlign w:val="center"/>
          </w:tcPr>
          <w:p w14:paraId="3A9FDBAF">
            <w:pPr>
              <w:adjustRightInd w:val="0"/>
              <w:snapToGrid w:val="0"/>
              <w:spacing w:line="240" w:lineRule="auto"/>
              <w:ind w:firstLine="0" w:firstLineChars="0"/>
              <w:jc w:val="center"/>
            </w:pPr>
            <w:r>
              <w:t>N：</w:t>
            </w:r>
            <w:r>
              <w:rPr>
                <w:rFonts w:hint="eastAsia"/>
              </w:rPr>
              <w:t>26°09'41.9028"</w:t>
            </w:r>
            <w:r>
              <w:t>，E</w:t>
            </w:r>
            <w:r>
              <w:rPr>
                <w:rFonts w:hint="eastAsia"/>
              </w:rPr>
              <w:t>：119°07'37.5025"</w:t>
            </w:r>
          </w:p>
        </w:tc>
      </w:tr>
      <w:tr w14:paraId="3E9191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561" w:hRule="atLeast"/>
          <w:jc w:val="center"/>
        </w:trPr>
        <w:tc>
          <w:tcPr>
            <w:tcW w:w="1713" w:type="dxa"/>
            <w:tcMar>
              <w:top w:w="16" w:type="dxa"/>
              <w:left w:w="16" w:type="dxa"/>
              <w:right w:w="16" w:type="dxa"/>
            </w:tcMar>
            <w:vAlign w:val="center"/>
          </w:tcPr>
          <w:p w14:paraId="7E5DC7B9">
            <w:pPr>
              <w:adjustRightInd w:val="0"/>
              <w:snapToGrid w:val="0"/>
              <w:spacing w:line="240" w:lineRule="auto"/>
              <w:ind w:firstLine="0" w:firstLineChars="0"/>
              <w:jc w:val="center"/>
            </w:pPr>
            <w:r>
              <w:t>国民经济</w:t>
            </w:r>
          </w:p>
          <w:p w14:paraId="384A595B">
            <w:pPr>
              <w:adjustRightInd w:val="0"/>
              <w:snapToGrid w:val="0"/>
              <w:spacing w:line="240" w:lineRule="auto"/>
              <w:ind w:firstLine="0" w:firstLineChars="0"/>
              <w:jc w:val="center"/>
            </w:pPr>
            <w:r>
              <w:t>行业类别</w:t>
            </w:r>
          </w:p>
        </w:tc>
        <w:tc>
          <w:tcPr>
            <w:tcW w:w="2235" w:type="dxa"/>
            <w:vAlign w:val="center"/>
          </w:tcPr>
          <w:p w14:paraId="67054846">
            <w:pPr>
              <w:adjustRightInd w:val="0"/>
              <w:snapToGrid w:val="0"/>
              <w:spacing w:line="240" w:lineRule="auto"/>
              <w:ind w:firstLine="0" w:firstLineChars="0"/>
              <w:jc w:val="center"/>
            </w:pPr>
            <w:r>
              <w:t>C303</w:t>
            </w:r>
            <w:r>
              <w:rPr>
                <w:rFonts w:hint="eastAsia"/>
              </w:rPr>
              <w:t xml:space="preserve">9 </w:t>
            </w:r>
            <w:r>
              <w:t>其他建筑材料制造</w:t>
            </w:r>
          </w:p>
        </w:tc>
        <w:tc>
          <w:tcPr>
            <w:tcW w:w="1918" w:type="dxa"/>
            <w:vAlign w:val="center"/>
          </w:tcPr>
          <w:p w14:paraId="4E2D4075">
            <w:pPr>
              <w:adjustRightInd w:val="0"/>
              <w:snapToGrid w:val="0"/>
              <w:spacing w:line="240" w:lineRule="auto"/>
              <w:ind w:firstLine="0" w:firstLineChars="0"/>
              <w:jc w:val="center"/>
            </w:pPr>
            <w:r>
              <w:t>建设项目</w:t>
            </w:r>
          </w:p>
          <w:p w14:paraId="337A4834">
            <w:pPr>
              <w:adjustRightInd w:val="0"/>
              <w:snapToGrid w:val="0"/>
              <w:spacing w:line="240" w:lineRule="auto"/>
              <w:ind w:firstLine="0" w:firstLineChars="0"/>
              <w:jc w:val="center"/>
            </w:pPr>
            <w:r>
              <w:t>行业类别</w:t>
            </w:r>
          </w:p>
        </w:tc>
        <w:tc>
          <w:tcPr>
            <w:tcW w:w="3004" w:type="dxa"/>
            <w:gridSpan w:val="2"/>
            <w:vAlign w:val="center"/>
          </w:tcPr>
          <w:p w14:paraId="70685739">
            <w:pPr>
              <w:adjustRightInd w:val="0"/>
              <w:snapToGrid w:val="0"/>
              <w:spacing w:line="240" w:lineRule="auto"/>
              <w:ind w:firstLine="0" w:firstLineChars="0"/>
              <w:jc w:val="center"/>
            </w:pPr>
            <w:r>
              <w:rPr>
                <w:rFonts w:hint="eastAsia"/>
              </w:rPr>
              <w:t>二十七、非金属矿物制品业30：56、砖瓦、石材等建筑材料制造303</w:t>
            </w:r>
          </w:p>
        </w:tc>
      </w:tr>
      <w:tr w14:paraId="0EF1CB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90" w:hRule="atLeast"/>
          <w:jc w:val="center"/>
        </w:trPr>
        <w:tc>
          <w:tcPr>
            <w:tcW w:w="1713" w:type="dxa"/>
            <w:tcMar>
              <w:top w:w="16" w:type="dxa"/>
              <w:left w:w="16" w:type="dxa"/>
              <w:right w:w="16" w:type="dxa"/>
            </w:tcMar>
            <w:vAlign w:val="center"/>
          </w:tcPr>
          <w:p w14:paraId="7F53F365">
            <w:pPr>
              <w:adjustRightInd w:val="0"/>
              <w:snapToGrid w:val="0"/>
              <w:spacing w:line="240" w:lineRule="auto"/>
              <w:ind w:firstLine="0" w:firstLineChars="0"/>
              <w:jc w:val="center"/>
            </w:pPr>
            <w:r>
              <w:t>建设性质</w:t>
            </w:r>
          </w:p>
        </w:tc>
        <w:tc>
          <w:tcPr>
            <w:tcW w:w="2235" w:type="dxa"/>
            <w:vAlign w:val="center"/>
          </w:tcPr>
          <w:p w14:paraId="68F73DE8">
            <w:pPr>
              <w:adjustRightInd w:val="0"/>
              <w:snapToGrid w:val="0"/>
              <w:spacing w:line="240" w:lineRule="auto"/>
              <w:ind w:firstLine="0" w:firstLineChars="0"/>
            </w:pPr>
            <w:r>
              <w:rPr>
                <w:rFonts w:hint="eastAsia"/>
              </w:rPr>
              <w:t>☑</w:t>
            </w:r>
            <w:r>
              <w:t>新建</w:t>
            </w:r>
            <w:r>
              <w:rPr>
                <w:rFonts w:hint="eastAsia"/>
              </w:rPr>
              <w:t>（</w:t>
            </w:r>
            <w:r>
              <w:t>迁建</w:t>
            </w:r>
            <w:r>
              <w:rPr>
                <w:rFonts w:hint="eastAsia"/>
              </w:rPr>
              <w:t>）</w:t>
            </w:r>
          </w:p>
          <w:p w14:paraId="2468C485">
            <w:pPr>
              <w:adjustRightInd w:val="0"/>
              <w:snapToGrid w:val="0"/>
              <w:spacing w:line="240" w:lineRule="auto"/>
              <w:ind w:firstLine="0" w:firstLineChars="0"/>
            </w:pPr>
            <w:r>
              <w:rPr>
                <w:rFonts w:hint="eastAsia"/>
              </w:rPr>
              <w:t>□</w:t>
            </w:r>
            <w:r>
              <w:t>改建</w:t>
            </w:r>
          </w:p>
          <w:p w14:paraId="190E98BB">
            <w:pPr>
              <w:adjustRightInd w:val="0"/>
              <w:snapToGrid w:val="0"/>
              <w:spacing w:line="240" w:lineRule="auto"/>
              <w:ind w:firstLine="0" w:firstLineChars="0"/>
            </w:pPr>
            <w:r>
              <w:rPr>
                <w:rFonts w:hint="eastAsia"/>
              </w:rPr>
              <w:t>□</w:t>
            </w:r>
            <w:r>
              <w:t>扩建</w:t>
            </w:r>
          </w:p>
          <w:p w14:paraId="2B6B8DE2">
            <w:pPr>
              <w:adjustRightInd w:val="0"/>
              <w:snapToGrid w:val="0"/>
              <w:spacing w:line="240" w:lineRule="auto"/>
              <w:ind w:firstLine="0" w:firstLineChars="0"/>
            </w:pPr>
            <w:r>
              <w:rPr>
                <w:rFonts w:hint="eastAsia"/>
              </w:rPr>
              <w:t>□</w:t>
            </w:r>
            <w:r>
              <w:t>技术改造</w:t>
            </w:r>
          </w:p>
        </w:tc>
        <w:tc>
          <w:tcPr>
            <w:tcW w:w="1918" w:type="dxa"/>
            <w:vAlign w:val="center"/>
          </w:tcPr>
          <w:p w14:paraId="179649AE">
            <w:pPr>
              <w:adjustRightInd w:val="0"/>
              <w:snapToGrid w:val="0"/>
              <w:spacing w:line="240" w:lineRule="auto"/>
              <w:ind w:firstLine="0" w:firstLineChars="0"/>
              <w:jc w:val="center"/>
            </w:pPr>
            <w:r>
              <w:t>建设项目</w:t>
            </w:r>
          </w:p>
          <w:p w14:paraId="328BE66C">
            <w:pPr>
              <w:adjustRightInd w:val="0"/>
              <w:snapToGrid w:val="0"/>
              <w:spacing w:line="240" w:lineRule="auto"/>
              <w:ind w:firstLine="0" w:firstLineChars="0"/>
              <w:jc w:val="center"/>
            </w:pPr>
            <w:r>
              <w:t>申报情形</w:t>
            </w:r>
          </w:p>
        </w:tc>
        <w:tc>
          <w:tcPr>
            <w:tcW w:w="3004" w:type="dxa"/>
            <w:gridSpan w:val="2"/>
            <w:vAlign w:val="center"/>
          </w:tcPr>
          <w:p w14:paraId="4B0D7642">
            <w:pPr>
              <w:adjustRightInd w:val="0"/>
              <w:snapToGrid w:val="0"/>
              <w:spacing w:line="240" w:lineRule="auto"/>
              <w:ind w:firstLine="0" w:firstLineChars="0"/>
            </w:pPr>
            <w:r>
              <w:rPr>
                <w:rFonts w:hint="eastAsia"/>
              </w:rPr>
              <w:t>☑</w:t>
            </w:r>
            <w:r>
              <w:t xml:space="preserve">首次申报项目             </w:t>
            </w:r>
          </w:p>
          <w:p w14:paraId="7314233D">
            <w:pPr>
              <w:adjustRightInd w:val="0"/>
              <w:snapToGrid w:val="0"/>
              <w:spacing w:line="240" w:lineRule="auto"/>
              <w:ind w:firstLine="0" w:firstLineChars="0"/>
            </w:pPr>
            <w:r>
              <w:rPr>
                <w:rFonts w:hint="eastAsia"/>
              </w:rPr>
              <w:t>□</w:t>
            </w:r>
            <w:r>
              <w:t>不予批准后再次申报项目</w:t>
            </w:r>
          </w:p>
          <w:p w14:paraId="58095D5D">
            <w:pPr>
              <w:adjustRightInd w:val="0"/>
              <w:snapToGrid w:val="0"/>
              <w:spacing w:line="240" w:lineRule="auto"/>
              <w:ind w:firstLine="0" w:firstLineChars="0"/>
            </w:pPr>
            <w:r>
              <w:rPr>
                <w:rFonts w:hint="eastAsia"/>
              </w:rPr>
              <w:t>□</w:t>
            </w:r>
            <w:r>
              <w:t xml:space="preserve">超五年重新审核项目     </w:t>
            </w:r>
          </w:p>
          <w:p w14:paraId="77B73F01">
            <w:pPr>
              <w:adjustRightInd w:val="0"/>
              <w:snapToGrid w:val="0"/>
              <w:spacing w:line="240" w:lineRule="auto"/>
              <w:ind w:firstLine="0" w:firstLineChars="0"/>
            </w:pPr>
            <w:r>
              <w:rPr>
                <w:rFonts w:hint="eastAsia"/>
              </w:rPr>
              <w:t>□</w:t>
            </w:r>
            <w:r>
              <w:t>重大变动重新报批项目</w:t>
            </w:r>
          </w:p>
        </w:tc>
      </w:tr>
      <w:tr w14:paraId="7DEDC1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851" w:hRule="atLeast"/>
          <w:jc w:val="center"/>
        </w:trPr>
        <w:tc>
          <w:tcPr>
            <w:tcW w:w="1713" w:type="dxa"/>
            <w:tcMar>
              <w:top w:w="16" w:type="dxa"/>
              <w:left w:w="16" w:type="dxa"/>
              <w:right w:w="16" w:type="dxa"/>
            </w:tcMar>
            <w:vAlign w:val="center"/>
          </w:tcPr>
          <w:p w14:paraId="57CD70C4">
            <w:pPr>
              <w:adjustRightInd w:val="0"/>
              <w:snapToGrid w:val="0"/>
              <w:spacing w:line="240" w:lineRule="auto"/>
              <w:ind w:firstLine="0" w:firstLineChars="0"/>
              <w:jc w:val="center"/>
            </w:pPr>
            <w:r>
              <w:t>项目审批</w:t>
            </w:r>
            <w:r>
              <w:rPr>
                <w:rFonts w:hint="eastAsia"/>
              </w:rPr>
              <w:t>（</w:t>
            </w:r>
            <w:r>
              <w:t>核准/备案</w:t>
            </w:r>
            <w:r>
              <w:rPr>
                <w:rFonts w:hint="eastAsia"/>
              </w:rPr>
              <w:t>）</w:t>
            </w:r>
            <w:r>
              <w:t>部门</w:t>
            </w:r>
          </w:p>
          <w:p w14:paraId="6396BD29">
            <w:pPr>
              <w:adjustRightInd w:val="0"/>
              <w:snapToGrid w:val="0"/>
              <w:spacing w:line="240" w:lineRule="auto"/>
              <w:ind w:firstLine="0" w:firstLineChars="0"/>
              <w:jc w:val="center"/>
            </w:pPr>
            <w:r>
              <w:rPr>
                <w:rFonts w:hint="eastAsia"/>
              </w:rPr>
              <w:t>（</w:t>
            </w:r>
            <w:r>
              <w:t>选填</w:t>
            </w:r>
            <w:r>
              <w:rPr>
                <w:rFonts w:hint="eastAsia"/>
              </w:rPr>
              <w:t>）</w:t>
            </w:r>
          </w:p>
        </w:tc>
        <w:tc>
          <w:tcPr>
            <w:tcW w:w="2235" w:type="dxa"/>
            <w:vAlign w:val="center"/>
          </w:tcPr>
          <w:p w14:paraId="17619D53">
            <w:pPr>
              <w:adjustRightInd w:val="0"/>
              <w:snapToGrid w:val="0"/>
              <w:spacing w:line="240" w:lineRule="auto"/>
              <w:ind w:firstLine="0" w:firstLineChars="0"/>
              <w:jc w:val="center"/>
            </w:pPr>
            <w:r>
              <w:rPr>
                <w:rFonts w:hint="eastAsia"/>
              </w:rPr>
              <w:t>闽侯县发展和改革局</w:t>
            </w:r>
          </w:p>
        </w:tc>
        <w:tc>
          <w:tcPr>
            <w:tcW w:w="1918" w:type="dxa"/>
            <w:vAlign w:val="center"/>
          </w:tcPr>
          <w:p w14:paraId="2020BD22">
            <w:pPr>
              <w:adjustRightInd w:val="0"/>
              <w:snapToGrid w:val="0"/>
              <w:spacing w:line="240" w:lineRule="auto"/>
              <w:ind w:firstLine="0" w:firstLineChars="0"/>
              <w:jc w:val="center"/>
            </w:pPr>
            <w:r>
              <w:t>项目审批</w:t>
            </w:r>
            <w:r>
              <w:rPr>
                <w:rFonts w:hint="eastAsia"/>
              </w:rPr>
              <w:t>（</w:t>
            </w:r>
            <w:r>
              <w:t>核准/备案</w:t>
            </w:r>
            <w:r>
              <w:rPr>
                <w:rFonts w:hint="eastAsia"/>
              </w:rPr>
              <w:t>）</w:t>
            </w:r>
            <w:r>
              <w:t>文号</w:t>
            </w:r>
            <w:r>
              <w:rPr>
                <w:rFonts w:hint="eastAsia"/>
              </w:rPr>
              <w:t>（</w:t>
            </w:r>
            <w:r>
              <w:t>选填</w:t>
            </w:r>
            <w:r>
              <w:rPr>
                <w:rFonts w:hint="eastAsia"/>
              </w:rPr>
              <w:t>）</w:t>
            </w:r>
          </w:p>
        </w:tc>
        <w:tc>
          <w:tcPr>
            <w:tcW w:w="3004" w:type="dxa"/>
            <w:gridSpan w:val="2"/>
            <w:vAlign w:val="center"/>
          </w:tcPr>
          <w:p w14:paraId="1A7D24AC">
            <w:pPr>
              <w:adjustRightInd w:val="0"/>
              <w:snapToGrid w:val="0"/>
              <w:spacing w:line="240" w:lineRule="auto"/>
              <w:ind w:firstLine="0" w:firstLineChars="0"/>
              <w:jc w:val="center"/>
            </w:pPr>
            <w:r>
              <w:rPr>
                <w:rFonts w:hint="eastAsia"/>
              </w:rPr>
              <w:t>闽发改备〔2026〕</w:t>
            </w:r>
          </w:p>
          <w:p w14:paraId="26AEDC21">
            <w:pPr>
              <w:adjustRightInd w:val="0"/>
              <w:snapToGrid w:val="0"/>
              <w:spacing w:line="240" w:lineRule="auto"/>
              <w:ind w:firstLine="0" w:firstLineChars="0"/>
              <w:jc w:val="center"/>
            </w:pPr>
            <w:r>
              <w:rPr>
                <w:rFonts w:hint="eastAsia"/>
              </w:rPr>
              <w:t>A080067号</w:t>
            </w:r>
          </w:p>
        </w:tc>
      </w:tr>
      <w:tr w14:paraId="0179A8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497" w:hRule="atLeast"/>
          <w:jc w:val="center"/>
        </w:trPr>
        <w:tc>
          <w:tcPr>
            <w:tcW w:w="1713" w:type="dxa"/>
            <w:tcMar>
              <w:top w:w="16" w:type="dxa"/>
              <w:left w:w="16" w:type="dxa"/>
              <w:right w:w="16" w:type="dxa"/>
            </w:tcMar>
            <w:vAlign w:val="center"/>
          </w:tcPr>
          <w:p w14:paraId="3C547FCD">
            <w:pPr>
              <w:adjustRightInd w:val="0"/>
              <w:snapToGrid w:val="0"/>
              <w:spacing w:line="240" w:lineRule="auto"/>
              <w:ind w:firstLine="0" w:firstLineChars="0"/>
              <w:jc w:val="center"/>
            </w:pPr>
            <w:r>
              <w:t>总投资</w:t>
            </w:r>
            <w:r>
              <w:rPr>
                <w:rFonts w:hint="eastAsia"/>
              </w:rPr>
              <w:t>（万元）</w:t>
            </w:r>
          </w:p>
        </w:tc>
        <w:tc>
          <w:tcPr>
            <w:tcW w:w="2235" w:type="dxa"/>
            <w:vAlign w:val="center"/>
          </w:tcPr>
          <w:p w14:paraId="6933AFE4">
            <w:pPr>
              <w:adjustRightInd w:val="0"/>
              <w:snapToGrid w:val="0"/>
              <w:spacing w:line="240" w:lineRule="auto"/>
              <w:ind w:firstLine="0" w:firstLineChars="0"/>
              <w:jc w:val="center"/>
            </w:pPr>
            <w:r>
              <w:rPr>
                <w:rFonts w:hint="eastAsia"/>
              </w:rPr>
              <w:t>250</w:t>
            </w:r>
          </w:p>
        </w:tc>
        <w:tc>
          <w:tcPr>
            <w:tcW w:w="1918" w:type="dxa"/>
            <w:tcMar>
              <w:top w:w="16" w:type="dxa"/>
              <w:left w:w="16" w:type="dxa"/>
              <w:right w:w="16" w:type="dxa"/>
            </w:tcMar>
            <w:vAlign w:val="center"/>
          </w:tcPr>
          <w:p w14:paraId="1D67004C">
            <w:pPr>
              <w:adjustRightInd w:val="0"/>
              <w:snapToGrid w:val="0"/>
              <w:spacing w:line="240" w:lineRule="auto"/>
              <w:ind w:firstLine="0" w:firstLineChars="0"/>
              <w:jc w:val="center"/>
            </w:pPr>
            <w:r>
              <w:t>环保投资</w:t>
            </w:r>
            <w:r>
              <w:rPr>
                <w:rFonts w:hint="eastAsia"/>
              </w:rPr>
              <w:t>（万元）</w:t>
            </w:r>
          </w:p>
        </w:tc>
        <w:tc>
          <w:tcPr>
            <w:tcW w:w="3004" w:type="dxa"/>
            <w:gridSpan w:val="2"/>
            <w:vAlign w:val="center"/>
          </w:tcPr>
          <w:p w14:paraId="389C3332">
            <w:pPr>
              <w:adjustRightInd w:val="0"/>
              <w:snapToGrid w:val="0"/>
              <w:spacing w:line="240" w:lineRule="auto"/>
              <w:ind w:firstLine="0" w:firstLineChars="0"/>
              <w:jc w:val="center"/>
            </w:pPr>
            <w:r>
              <w:rPr>
                <w:rFonts w:hint="eastAsia"/>
              </w:rPr>
              <w:t>20</w:t>
            </w:r>
          </w:p>
        </w:tc>
      </w:tr>
      <w:tr w14:paraId="4BDC10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497" w:hRule="atLeast"/>
          <w:jc w:val="center"/>
        </w:trPr>
        <w:tc>
          <w:tcPr>
            <w:tcW w:w="1713" w:type="dxa"/>
            <w:tcMar>
              <w:top w:w="16" w:type="dxa"/>
              <w:left w:w="16" w:type="dxa"/>
              <w:right w:w="16" w:type="dxa"/>
            </w:tcMar>
            <w:vAlign w:val="center"/>
          </w:tcPr>
          <w:p w14:paraId="58CB729F">
            <w:pPr>
              <w:adjustRightInd w:val="0"/>
              <w:snapToGrid w:val="0"/>
              <w:spacing w:line="240" w:lineRule="auto"/>
              <w:ind w:firstLine="0" w:firstLineChars="0"/>
              <w:jc w:val="center"/>
            </w:pPr>
            <w:r>
              <w:t>环保投资占比</w:t>
            </w:r>
            <w:r>
              <w:rPr>
                <w:rFonts w:hint="eastAsia"/>
              </w:rPr>
              <w:t>（%）</w:t>
            </w:r>
          </w:p>
        </w:tc>
        <w:tc>
          <w:tcPr>
            <w:tcW w:w="2235" w:type="dxa"/>
            <w:vAlign w:val="center"/>
          </w:tcPr>
          <w:p w14:paraId="42583BB6">
            <w:pPr>
              <w:adjustRightInd w:val="0"/>
              <w:snapToGrid w:val="0"/>
              <w:spacing w:line="240" w:lineRule="auto"/>
              <w:ind w:firstLine="0" w:firstLineChars="0"/>
              <w:jc w:val="center"/>
            </w:pPr>
            <w:r>
              <w:rPr>
                <w:rFonts w:hint="eastAsia"/>
              </w:rPr>
              <w:t>8</w:t>
            </w:r>
          </w:p>
        </w:tc>
        <w:tc>
          <w:tcPr>
            <w:tcW w:w="1918" w:type="dxa"/>
            <w:tcMar>
              <w:top w:w="16" w:type="dxa"/>
              <w:left w:w="16" w:type="dxa"/>
              <w:right w:w="16" w:type="dxa"/>
            </w:tcMar>
            <w:vAlign w:val="center"/>
          </w:tcPr>
          <w:p w14:paraId="24DE3B9F">
            <w:pPr>
              <w:adjustRightInd w:val="0"/>
              <w:snapToGrid w:val="0"/>
              <w:spacing w:line="240" w:lineRule="auto"/>
              <w:ind w:firstLine="0" w:firstLineChars="0"/>
              <w:jc w:val="center"/>
            </w:pPr>
            <w:r>
              <w:t>施工工期</w:t>
            </w:r>
          </w:p>
        </w:tc>
        <w:tc>
          <w:tcPr>
            <w:tcW w:w="3004" w:type="dxa"/>
            <w:gridSpan w:val="2"/>
            <w:vAlign w:val="center"/>
          </w:tcPr>
          <w:p w14:paraId="2D1AE0BC">
            <w:pPr>
              <w:adjustRightInd w:val="0"/>
              <w:snapToGrid w:val="0"/>
              <w:spacing w:line="240" w:lineRule="auto"/>
              <w:ind w:firstLine="0" w:firstLineChars="0"/>
              <w:jc w:val="center"/>
            </w:pPr>
            <w:r>
              <w:rPr>
                <w:rFonts w:hint="eastAsia"/>
              </w:rPr>
              <w:t>2026</w:t>
            </w:r>
            <w:r>
              <w:t>年</w:t>
            </w:r>
            <w:r>
              <w:rPr>
                <w:rFonts w:hint="eastAsia"/>
              </w:rPr>
              <w:t>4</w:t>
            </w:r>
            <w:r>
              <w:t>月至</w:t>
            </w:r>
            <w:r>
              <w:rPr>
                <w:rFonts w:hint="eastAsia"/>
              </w:rPr>
              <w:t>2026</w:t>
            </w:r>
            <w:r>
              <w:t>年</w:t>
            </w:r>
            <w:r>
              <w:rPr>
                <w:rFonts w:hint="eastAsia"/>
                <w:lang w:val="en-US" w:eastAsia="zh-CN"/>
              </w:rPr>
              <w:t>9</w:t>
            </w:r>
            <w:r>
              <w:t>月</w:t>
            </w:r>
          </w:p>
        </w:tc>
      </w:tr>
      <w:tr w14:paraId="461F13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29" w:type="dxa"/>
          <w:trHeight w:val="729" w:hRule="atLeast"/>
          <w:jc w:val="center"/>
        </w:trPr>
        <w:tc>
          <w:tcPr>
            <w:tcW w:w="1713" w:type="dxa"/>
            <w:tcMar>
              <w:top w:w="16" w:type="dxa"/>
              <w:left w:w="16" w:type="dxa"/>
              <w:right w:w="16" w:type="dxa"/>
            </w:tcMar>
            <w:vAlign w:val="center"/>
          </w:tcPr>
          <w:p w14:paraId="52C7068E">
            <w:pPr>
              <w:adjustRightInd w:val="0"/>
              <w:snapToGrid w:val="0"/>
              <w:spacing w:line="240" w:lineRule="auto"/>
              <w:ind w:firstLine="0" w:firstLineChars="0"/>
              <w:jc w:val="center"/>
            </w:pPr>
            <w:r>
              <w:t>是否开工建设</w:t>
            </w:r>
          </w:p>
        </w:tc>
        <w:tc>
          <w:tcPr>
            <w:tcW w:w="2235" w:type="dxa"/>
            <w:vAlign w:val="center"/>
          </w:tcPr>
          <w:p w14:paraId="2133BF6F">
            <w:pPr>
              <w:adjustRightInd w:val="0"/>
              <w:ind w:firstLine="0" w:firstLineChars="0"/>
            </w:pPr>
            <w:r>
              <w:rPr>
                <w:rFonts w:hint="eastAsia"/>
              </w:rPr>
              <w:t>☑</w:t>
            </w:r>
            <w:r>
              <w:t>否</w:t>
            </w:r>
          </w:p>
          <w:p w14:paraId="0F5110C6">
            <w:pPr>
              <w:adjustRightInd w:val="0"/>
              <w:ind w:firstLine="0" w:firstLineChars="0"/>
            </w:pPr>
            <w:r>
              <w:rPr>
                <w:rFonts w:hint="eastAsia"/>
              </w:rPr>
              <w:t>□</w:t>
            </w:r>
            <w:r>
              <w:t>是：</w:t>
            </w:r>
            <w:r>
              <w:rPr>
                <w:u w:val="single"/>
              </w:rPr>
              <w:t xml:space="preserve">        </w:t>
            </w:r>
          </w:p>
        </w:tc>
        <w:tc>
          <w:tcPr>
            <w:tcW w:w="1918" w:type="dxa"/>
            <w:tcMar>
              <w:top w:w="16" w:type="dxa"/>
              <w:left w:w="16" w:type="dxa"/>
              <w:right w:w="16" w:type="dxa"/>
            </w:tcMar>
            <w:vAlign w:val="center"/>
          </w:tcPr>
          <w:p w14:paraId="299C0C64">
            <w:pPr>
              <w:adjustRightInd w:val="0"/>
              <w:snapToGrid w:val="0"/>
              <w:spacing w:line="240" w:lineRule="auto"/>
              <w:ind w:firstLine="0" w:firstLineChars="0"/>
              <w:jc w:val="center"/>
            </w:pPr>
            <w:r>
              <w:t>用地</w:t>
            </w:r>
            <w:r>
              <w:rPr>
                <w:rFonts w:hint="eastAsia"/>
              </w:rPr>
              <w:t>（</w:t>
            </w:r>
            <w:r>
              <w:t>用海</w:t>
            </w:r>
            <w:r>
              <w:rPr>
                <w:rFonts w:hint="eastAsia"/>
              </w:rPr>
              <w:t>）</w:t>
            </w:r>
          </w:p>
          <w:p w14:paraId="2D4DAB57">
            <w:pPr>
              <w:adjustRightInd w:val="0"/>
              <w:snapToGrid w:val="0"/>
              <w:spacing w:line="240" w:lineRule="auto"/>
              <w:ind w:firstLine="0" w:firstLineChars="0"/>
              <w:jc w:val="center"/>
            </w:pPr>
            <w:r>
              <w:t>面积</w:t>
            </w:r>
            <w:r>
              <w:rPr>
                <w:rFonts w:hint="eastAsia"/>
              </w:rPr>
              <w:t>（</w:t>
            </w:r>
            <w:r>
              <w:t>m</w:t>
            </w:r>
            <w:r>
              <w:rPr>
                <w:vertAlign w:val="superscript"/>
              </w:rPr>
              <w:t>2</w:t>
            </w:r>
            <w:r>
              <w:rPr>
                <w:rFonts w:hint="eastAsia"/>
              </w:rPr>
              <w:t>）</w:t>
            </w:r>
          </w:p>
        </w:tc>
        <w:tc>
          <w:tcPr>
            <w:tcW w:w="3004" w:type="dxa"/>
            <w:gridSpan w:val="2"/>
            <w:vAlign w:val="center"/>
          </w:tcPr>
          <w:p w14:paraId="25E1A3AB">
            <w:pPr>
              <w:adjustRightInd w:val="0"/>
              <w:snapToGrid w:val="0"/>
              <w:spacing w:line="240" w:lineRule="auto"/>
              <w:ind w:firstLine="0" w:firstLineChars="0"/>
              <w:jc w:val="center"/>
            </w:pPr>
            <w:r>
              <w:rPr>
                <w:rFonts w:hint="eastAsia"/>
              </w:rPr>
              <w:t>800</w:t>
            </w:r>
            <w:r>
              <w:t>m</w:t>
            </w:r>
            <w:r>
              <w:rPr>
                <w:vertAlign w:val="superscript"/>
              </w:rPr>
              <w:t>2</w:t>
            </w:r>
            <w:r>
              <w:rPr>
                <w:rFonts w:hint="eastAsia"/>
              </w:rPr>
              <w:t>（租赁面积）</w:t>
            </w:r>
          </w:p>
        </w:tc>
      </w:tr>
      <w:tr w14:paraId="02DB1F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755" w:hRule="atLeast"/>
          <w:jc w:val="center"/>
        </w:trPr>
        <w:tc>
          <w:tcPr>
            <w:tcW w:w="1713" w:type="dxa"/>
            <w:vAlign w:val="center"/>
          </w:tcPr>
          <w:p w14:paraId="46F9ABEA">
            <w:pPr>
              <w:adjustRightInd w:val="0"/>
              <w:snapToGrid w:val="0"/>
              <w:spacing w:line="240" w:lineRule="auto"/>
              <w:ind w:firstLine="0" w:firstLineChars="0"/>
              <w:jc w:val="center"/>
            </w:pPr>
            <w:r>
              <w:t>专项评价设置情况</w:t>
            </w:r>
          </w:p>
        </w:tc>
        <w:tc>
          <w:tcPr>
            <w:tcW w:w="7157" w:type="dxa"/>
            <w:gridSpan w:val="4"/>
            <w:vAlign w:val="center"/>
          </w:tcPr>
          <w:p w14:paraId="2D62FCED">
            <w:pPr>
              <w:ind w:firstLine="480"/>
            </w:pPr>
            <w:r>
              <w:rPr>
                <w:rFonts w:hint="eastAsia"/>
              </w:rPr>
              <w:t>根据《建设项目环境影响报告表编制技术指南（污染影响类）（试行）》要求，建设项目产生的环境影响需要深入论证的，应按照环境影响评价相关技术导则开展专项评价工作。本项目无需设置大气、地表水、环境风险、生态和海洋专项评价，具体设置情况见表1.1-1。</w:t>
            </w:r>
          </w:p>
          <w:p w14:paraId="23468115">
            <w:pPr>
              <w:spacing w:before="120" w:beforeLines="50" w:line="240" w:lineRule="auto"/>
              <w:ind w:firstLine="0" w:firstLineChars="0"/>
              <w:jc w:val="center"/>
            </w:pPr>
            <w:r>
              <w:rPr>
                <w:rFonts w:hint="eastAsia"/>
                <w:b/>
                <w:kern w:val="0"/>
              </w:rPr>
              <w:t>表1.1-1专项评价设置原则表</w:t>
            </w:r>
          </w:p>
          <w:tbl>
            <w:tblPr>
              <w:tblStyle w:val="30"/>
              <w:tblW w:w="703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2603"/>
              <w:gridCol w:w="2407"/>
              <w:gridCol w:w="945"/>
            </w:tblGrid>
            <w:tr w14:paraId="00EAD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1076" w:type="dxa"/>
                  <w:vAlign w:val="center"/>
                </w:tcPr>
                <w:p w14:paraId="0589DD1D">
                  <w:pPr>
                    <w:adjustRightInd w:val="0"/>
                    <w:snapToGrid w:val="0"/>
                    <w:spacing w:line="240" w:lineRule="auto"/>
                    <w:ind w:firstLine="0" w:firstLineChars="0"/>
                    <w:jc w:val="center"/>
                    <w:rPr>
                      <w:b/>
                      <w:bCs/>
                      <w:iCs/>
                      <w:kern w:val="0"/>
                      <w:sz w:val="21"/>
                      <w:szCs w:val="21"/>
                    </w:rPr>
                  </w:pPr>
                  <w:r>
                    <w:rPr>
                      <w:rFonts w:hint="eastAsia"/>
                      <w:b/>
                      <w:bCs/>
                      <w:iCs/>
                      <w:kern w:val="0"/>
                      <w:sz w:val="21"/>
                      <w:szCs w:val="21"/>
                    </w:rPr>
                    <w:t>专项评价的类别</w:t>
                  </w:r>
                </w:p>
              </w:tc>
              <w:tc>
                <w:tcPr>
                  <w:tcW w:w="2603" w:type="dxa"/>
                  <w:vAlign w:val="center"/>
                </w:tcPr>
                <w:p w14:paraId="40BA616E">
                  <w:pPr>
                    <w:adjustRightInd w:val="0"/>
                    <w:snapToGrid w:val="0"/>
                    <w:spacing w:line="240" w:lineRule="auto"/>
                    <w:ind w:firstLine="0" w:firstLineChars="0"/>
                    <w:jc w:val="center"/>
                    <w:rPr>
                      <w:b/>
                      <w:bCs/>
                      <w:iCs/>
                      <w:kern w:val="0"/>
                      <w:sz w:val="21"/>
                      <w:szCs w:val="21"/>
                    </w:rPr>
                  </w:pPr>
                  <w:r>
                    <w:rPr>
                      <w:rFonts w:hint="eastAsia"/>
                      <w:b/>
                      <w:bCs/>
                      <w:iCs/>
                      <w:kern w:val="0"/>
                      <w:sz w:val="21"/>
                      <w:szCs w:val="21"/>
                    </w:rPr>
                    <w:t>设置原则</w:t>
                  </w:r>
                </w:p>
              </w:tc>
              <w:tc>
                <w:tcPr>
                  <w:tcW w:w="2407" w:type="dxa"/>
                  <w:vAlign w:val="center"/>
                </w:tcPr>
                <w:p w14:paraId="6EB017FB">
                  <w:pPr>
                    <w:adjustRightInd w:val="0"/>
                    <w:snapToGrid w:val="0"/>
                    <w:spacing w:line="240" w:lineRule="auto"/>
                    <w:ind w:firstLine="0" w:firstLineChars="0"/>
                    <w:jc w:val="center"/>
                    <w:rPr>
                      <w:b/>
                      <w:bCs/>
                      <w:iCs/>
                      <w:kern w:val="0"/>
                      <w:sz w:val="21"/>
                      <w:szCs w:val="21"/>
                    </w:rPr>
                  </w:pPr>
                  <w:r>
                    <w:rPr>
                      <w:rFonts w:hint="eastAsia"/>
                      <w:b/>
                      <w:bCs/>
                      <w:iCs/>
                      <w:kern w:val="0"/>
                      <w:sz w:val="21"/>
                      <w:szCs w:val="21"/>
                    </w:rPr>
                    <w:t>本项目情况</w:t>
                  </w:r>
                </w:p>
              </w:tc>
              <w:tc>
                <w:tcPr>
                  <w:tcW w:w="945" w:type="dxa"/>
                  <w:vAlign w:val="center"/>
                </w:tcPr>
                <w:p w14:paraId="342A0ED9">
                  <w:pPr>
                    <w:adjustRightInd w:val="0"/>
                    <w:snapToGrid w:val="0"/>
                    <w:spacing w:line="240" w:lineRule="auto"/>
                    <w:ind w:firstLine="0" w:firstLineChars="0"/>
                    <w:jc w:val="center"/>
                    <w:rPr>
                      <w:b/>
                      <w:bCs/>
                      <w:iCs/>
                      <w:kern w:val="0"/>
                      <w:sz w:val="21"/>
                      <w:szCs w:val="21"/>
                    </w:rPr>
                  </w:pPr>
                  <w:r>
                    <w:rPr>
                      <w:rFonts w:hint="eastAsia"/>
                      <w:b/>
                      <w:bCs/>
                      <w:iCs/>
                      <w:kern w:val="0"/>
                      <w:sz w:val="21"/>
                      <w:szCs w:val="21"/>
                    </w:rPr>
                    <w:t>是否设置专项</w:t>
                  </w:r>
                </w:p>
              </w:tc>
            </w:tr>
            <w:tr w14:paraId="37AE4E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6" w:type="dxa"/>
                  <w:vAlign w:val="center"/>
                </w:tcPr>
                <w:p w14:paraId="7764F978">
                  <w:pPr>
                    <w:adjustRightInd w:val="0"/>
                    <w:snapToGrid w:val="0"/>
                    <w:spacing w:line="240" w:lineRule="auto"/>
                    <w:ind w:firstLine="0" w:firstLineChars="0"/>
                    <w:jc w:val="center"/>
                    <w:rPr>
                      <w:iCs/>
                      <w:kern w:val="0"/>
                      <w:sz w:val="21"/>
                      <w:szCs w:val="21"/>
                    </w:rPr>
                  </w:pPr>
                  <w:r>
                    <w:rPr>
                      <w:rFonts w:hint="eastAsia"/>
                      <w:iCs/>
                      <w:kern w:val="0"/>
                      <w:sz w:val="21"/>
                      <w:szCs w:val="21"/>
                    </w:rPr>
                    <w:t>大气</w:t>
                  </w:r>
                </w:p>
              </w:tc>
              <w:tc>
                <w:tcPr>
                  <w:tcW w:w="2603" w:type="dxa"/>
                  <w:vAlign w:val="center"/>
                </w:tcPr>
                <w:p w14:paraId="5563CEA3">
                  <w:pPr>
                    <w:adjustRightInd w:val="0"/>
                    <w:snapToGrid w:val="0"/>
                    <w:spacing w:line="240" w:lineRule="auto"/>
                    <w:ind w:firstLine="0" w:firstLineChars="0"/>
                    <w:jc w:val="center"/>
                    <w:rPr>
                      <w:iCs/>
                      <w:kern w:val="0"/>
                      <w:sz w:val="21"/>
                      <w:szCs w:val="21"/>
                    </w:rPr>
                  </w:pPr>
                  <w:r>
                    <w:rPr>
                      <w:rFonts w:hint="eastAsia"/>
                      <w:iCs/>
                      <w:kern w:val="0"/>
                      <w:sz w:val="21"/>
                      <w:szCs w:val="21"/>
                    </w:rPr>
                    <w:t>排放废气含有毒有害污染物</w:t>
                  </w:r>
                  <w:r>
                    <w:rPr>
                      <w:rFonts w:hint="eastAsia"/>
                      <w:iCs/>
                      <w:kern w:val="0"/>
                      <w:sz w:val="21"/>
                      <w:szCs w:val="21"/>
                      <w:vertAlign w:val="superscript"/>
                    </w:rPr>
                    <w:t>1</w:t>
                  </w:r>
                  <w:r>
                    <w:rPr>
                      <w:rFonts w:hint="eastAsia"/>
                      <w:iCs/>
                      <w:kern w:val="0"/>
                      <w:sz w:val="21"/>
                      <w:szCs w:val="21"/>
                    </w:rPr>
                    <w:t>、二噁英、苯并〔a〕芘、氰化物、氯气且厂界外500米范围内有环境空气保护目标</w:t>
                  </w:r>
                  <w:r>
                    <w:rPr>
                      <w:rFonts w:hint="eastAsia"/>
                      <w:iCs/>
                      <w:kern w:val="0"/>
                      <w:sz w:val="21"/>
                      <w:szCs w:val="21"/>
                      <w:vertAlign w:val="superscript"/>
                    </w:rPr>
                    <w:t>2</w:t>
                  </w:r>
                  <w:r>
                    <w:rPr>
                      <w:rFonts w:hint="eastAsia"/>
                      <w:iCs/>
                      <w:kern w:val="0"/>
                      <w:sz w:val="21"/>
                      <w:szCs w:val="21"/>
                    </w:rPr>
                    <w:t>的建设项目</w:t>
                  </w:r>
                </w:p>
              </w:tc>
              <w:tc>
                <w:tcPr>
                  <w:tcW w:w="2407" w:type="dxa"/>
                  <w:vAlign w:val="center"/>
                </w:tcPr>
                <w:p w14:paraId="50A6C62D">
                  <w:pPr>
                    <w:spacing w:line="240" w:lineRule="auto"/>
                    <w:ind w:firstLine="0" w:firstLineChars="0"/>
                    <w:jc w:val="center"/>
                    <w:rPr>
                      <w:iCs/>
                      <w:kern w:val="0"/>
                      <w:sz w:val="21"/>
                      <w:szCs w:val="21"/>
                    </w:rPr>
                  </w:pPr>
                  <w:r>
                    <w:rPr>
                      <w:rFonts w:hint="eastAsia"/>
                      <w:sz w:val="21"/>
                      <w:szCs w:val="21"/>
                    </w:rPr>
                    <w:t>本项目排放废气污染物为颗粒物，不涉及有毒有害污染物、二噁英、苯并〔a〕芘、氰化物、氯气等污染物</w:t>
                  </w:r>
                </w:p>
              </w:tc>
              <w:tc>
                <w:tcPr>
                  <w:tcW w:w="945" w:type="dxa"/>
                  <w:vAlign w:val="center"/>
                </w:tcPr>
                <w:p w14:paraId="0B769FFF">
                  <w:pPr>
                    <w:spacing w:line="240" w:lineRule="auto"/>
                    <w:ind w:firstLine="0" w:firstLineChars="0"/>
                    <w:jc w:val="center"/>
                    <w:rPr>
                      <w:color w:val="000000"/>
                      <w:kern w:val="0"/>
                      <w:sz w:val="21"/>
                      <w:szCs w:val="21"/>
                    </w:rPr>
                  </w:pPr>
                  <w:r>
                    <w:rPr>
                      <w:color w:val="000000"/>
                      <w:kern w:val="0"/>
                      <w:sz w:val="21"/>
                      <w:szCs w:val="21"/>
                    </w:rPr>
                    <w:t>无须</w:t>
                  </w:r>
                </w:p>
                <w:p w14:paraId="63DBB106">
                  <w:pPr>
                    <w:spacing w:line="240" w:lineRule="auto"/>
                    <w:ind w:firstLine="0" w:firstLineChars="0"/>
                    <w:jc w:val="center"/>
                    <w:rPr>
                      <w:sz w:val="21"/>
                      <w:szCs w:val="21"/>
                    </w:rPr>
                  </w:pPr>
                  <w:r>
                    <w:rPr>
                      <w:color w:val="000000"/>
                      <w:kern w:val="0"/>
                      <w:sz w:val="21"/>
                      <w:szCs w:val="21"/>
                    </w:rPr>
                    <w:t>设置</w:t>
                  </w:r>
                </w:p>
              </w:tc>
            </w:tr>
            <w:tr w14:paraId="7814CA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1076" w:type="dxa"/>
                  <w:vAlign w:val="center"/>
                </w:tcPr>
                <w:p w14:paraId="0405D197">
                  <w:pPr>
                    <w:adjustRightInd w:val="0"/>
                    <w:snapToGrid w:val="0"/>
                    <w:spacing w:line="240" w:lineRule="auto"/>
                    <w:ind w:firstLine="0" w:firstLineChars="0"/>
                    <w:jc w:val="center"/>
                    <w:rPr>
                      <w:iCs/>
                      <w:kern w:val="0"/>
                      <w:sz w:val="21"/>
                      <w:szCs w:val="21"/>
                    </w:rPr>
                  </w:pPr>
                  <w:r>
                    <w:rPr>
                      <w:rFonts w:hint="eastAsia"/>
                      <w:iCs/>
                      <w:kern w:val="0"/>
                      <w:sz w:val="21"/>
                      <w:szCs w:val="21"/>
                    </w:rPr>
                    <w:t>地表水</w:t>
                  </w:r>
                </w:p>
              </w:tc>
              <w:tc>
                <w:tcPr>
                  <w:tcW w:w="2603" w:type="dxa"/>
                  <w:vAlign w:val="center"/>
                </w:tcPr>
                <w:p w14:paraId="6B4CA162">
                  <w:pPr>
                    <w:adjustRightInd w:val="0"/>
                    <w:snapToGrid w:val="0"/>
                    <w:spacing w:line="240" w:lineRule="auto"/>
                    <w:ind w:firstLine="0" w:firstLineChars="0"/>
                    <w:jc w:val="center"/>
                    <w:rPr>
                      <w:iCs/>
                      <w:kern w:val="0"/>
                      <w:sz w:val="21"/>
                      <w:szCs w:val="21"/>
                    </w:rPr>
                  </w:pPr>
                  <w:r>
                    <w:rPr>
                      <w:rFonts w:hint="eastAsia"/>
                      <w:iCs/>
                      <w:kern w:val="0"/>
                      <w:sz w:val="21"/>
                      <w:szCs w:val="21"/>
                    </w:rPr>
                    <w:t>新增工业废水直排建设项目（槽罐车外送污水处理厂的除外）；新增废水直排的污水集中处理厂</w:t>
                  </w:r>
                </w:p>
              </w:tc>
              <w:tc>
                <w:tcPr>
                  <w:tcW w:w="2407" w:type="dxa"/>
                  <w:vAlign w:val="center"/>
                </w:tcPr>
                <w:p w14:paraId="076DC1B3">
                  <w:pPr>
                    <w:spacing w:line="240" w:lineRule="auto"/>
                    <w:ind w:firstLine="0" w:firstLineChars="0"/>
                    <w:jc w:val="center"/>
                    <w:rPr>
                      <w:iCs/>
                      <w:kern w:val="0"/>
                      <w:sz w:val="21"/>
                      <w:szCs w:val="21"/>
                    </w:rPr>
                  </w:pPr>
                  <w:r>
                    <w:rPr>
                      <w:rFonts w:hint="eastAsia"/>
                      <w:sz w:val="21"/>
                      <w:szCs w:val="21"/>
                    </w:rPr>
                    <w:t>项目不涉及生产用水</w:t>
                  </w:r>
                </w:p>
              </w:tc>
              <w:tc>
                <w:tcPr>
                  <w:tcW w:w="945" w:type="dxa"/>
                  <w:vAlign w:val="center"/>
                </w:tcPr>
                <w:p w14:paraId="5A462125">
                  <w:pPr>
                    <w:spacing w:line="240" w:lineRule="auto"/>
                    <w:ind w:firstLine="0" w:firstLineChars="0"/>
                    <w:jc w:val="center"/>
                    <w:rPr>
                      <w:color w:val="000000"/>
                      <w:kern w:val="0"/>
                      <w:sz w:val="21"/>
                      <w:szCs w:val="18"/>
                    </w:rPr>
                  </w:pPr>
                  <w:r>
                    <w:rPr>
                      <w:color w:val="000000"/>
                      <w:kern w:val="0"/>
                      <w:sz w:val="21"/>
                      <w:szCs w:val="18"/>
                    </w:rPr>
                    <w:t>无须</w:t>
                  </w:r>
                </w:p>
                <w:p w14:paraId="72A8A440">
                  <w:pPr>
                    <w:spacing w:line="240" w:lineRule="auto"/>
                    <w:ind w:firstLine="0" w:firstLineChars="0"/>
                    <w:jc w:val="center"/>
                    <w:rPr>
                      <w:sz w:val="21"/>
                      <w:szCs w:val="18"/>
                    </w:rPr>
                  </w:pPr>
                  <w:r>
                    <w:rPr>
                      <w:color w:val="000000"/>
                      <w:kern w:val="0"/>
                      <w:sz w:val="21"/>
                      <w:szCs w:val="18"/>
                    </w:rPr>
                    <w:t>设置</w:t>
                  </w:r>
                </w:p>
              </w:tc>
            </w:tr>
            <w:tr w14:paraId="32F44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7" w:hRule="atLeast"/>
                <w:jc w:val="center"/>
              </w:trPr>
              <w:tc>
                <w:tcPr>
                  <w:tcW w:w="1076" w:type="dxa"/>
                  <w:vAlign w:val="center"/>
                </w:tcPr>
                <w:p w14:paraId="26CA9B53">
                  <w:pPr>
                    <w:adjustRightInd w:val="0"/>
                    <w:snapToGrid w:val="0"/>
                    <w:spacing w:line="240" w:lineRule="auto"/>
                    <w:ind w:firstLine="0" w:firstLineChars="0"/>
                    <w:jc w:val="center"/>
                    <w:rPr>
                      <w:iCs/>
                      <w:kern w:val="0"/>
                      <w:sz w:val="21"/>
                      <w:szCs w:val="21"/>
                    </w:rPr>
                  </w:pPr>
                  <w:r>
                    <w:rPr>
                      <w:rFonts w:hint="eastAsia"/>
                      <w:iCs/>
                      <w:kern w:val="0"/>
                      <w:sz w:val="21"/>
                      <w:szCs w:val="21"/>
                    </w:rPr>
                    <w:t>环境风险</w:t>
                  </w:r>
                </w:p>
              </w:tc>
              <w:tc>
                <w:tcPr>
                  <w:tcW w:w="2603" w:type="dxa"/>
                  <w:vAlign w:val="center"/>
                </w:tcPr>
                <w:p w14:paraId="639BF3CC">
                  <w:pPr>
                    <w:adjustRightInd w:val="0"/>
                    <w:snapToGrid w:val="0"/>
                    <w:spacing w:line="240" w:lineRule="auto"/>
                    <w:ind w:firstLine="0" w:firstLineChars="0"/>
                    <w:jc w:val="center"/>
                    <w:rPr>
                      <w:iCs/>
                      <w:kern w:val="0"/>
                      <w:sz w:val="21"/>
                      <w:szCs w:val="21"/>
                    </w:rPr>
                  </w:pPr>
                  <w:r>
                    <w:rPr>
                      <w:rFonts w:hint="eastAsia"/>
                      <w:iCs/>
                      <w:kern w:val="0"/>
                      <w:sz w:val="21"/>
                      <w:szCs w:val="21"/>
                    </w:rPr>
                    <w:t>有毒有害和易燃易爆危险物质存储量超过临界量</w:t>
                  </w:r>
                  <w:r>
                    <w:rPr>
                      <w:rFonts w:hint="eastAsia"/>
                      <w:iCs/>
                      <w:kern w:val="0"/>
                      <w:sz w:val="21"/>
                      <w:szCs w:val="21"/>
                      <w:vertAlign w:val="superscript"/>
                    </w:rPr>
                    <w:t>3</w:t>
                  </w:r>
                  <w:r>
                    <w:rPr>
                      <w:rFonts w:hint="eastAsia"/>
                      <w:iCs/>
                      <w:kern w:val="0"/>
                      <w:sz w:val="21"/>
                      <w:szCs w:val="21"/>
                    </w:rPr>
                    <w:t>的建设项目</w:t>
                  </w:r>
                </w:p>
              </w:tc>
              <w:tc>
                <w:tcPr>
                  <w:tcW w:w="2407" w:type="dxa"/>
                  <w:vAlign w:val="center"/>
                </w:tcPr>
                <w:p w14:paraId="5D2C93B4">
                  <w:pPr>
                    <w:spacing w:line="240" w:lineRule="auto"/>
                    <w:ind w:firstLine="0" w:firstLineChars="0"/>
                    <w:jc w:val="center"/>
                    <w:rPr>
                      <w:iCs/>
                      <w:kern w:val="0"/>
                      <w:sz w:val="21"/>
                      <w:szCs w:val="21"/>
                    </w:rPr>
                  </w:pPr>
                  <w:r>
                    <w:rPr>
                      <w:rFonts w:hint="eastAsia"/>
                      <w:sz w:val="21"/>
                      <w:szCs w:val="21"/>
                    </w:rPr>
                    <w:t>本项目不涉及</w:t>
                  </w:r>
                  <w:r>
                    <w:rPr>
                      <w:rFonts w:hint="eastAsia"/>
                      <w:iCs/>
                      <w:kern w:val="0"/>
                      <w:sz w:val="21"/>
                      <w:szCs w:val="21"/>
                    </w:rPr>
                    <w:t>有毒有害和易燃易爆危险物质存储</w:t>
                  </w:r>
                </w:p>
              </w:tc>
              <w:tc>
                <w:tcPr>
                  <w:tcW w:w="945" w:type="dxa"/>
                  <w:vAlign w:val="center"/>
                </w:tcPr>
                <w:p w14:paraId="620EEC99">
                  <w:pPr>
                    <w:spacing w:line="240" w:lineRule="auto"/>
                    <w:ind w:firstLine="0" w:firstLineChars="0"/>
                    <w:jc w:val="center"/>
                    <w:rPr>
                      <w:color w:val="000000"/>
                      <w:kern w:val="0"/>
                      <w:sz w:val="21"/>
                      <w:szCs w:val="18"/>
                    </w:rPr>
                  </w:pPr>
                  <w:r>
                    <w:rPr>
                      <w:color w:val="000000"/>
                      <w:kern w:val="0"/>
                      <w:sz w:val="21"/>
                      <w:szCs w:val="18"/>
                    </w:rPr>
                    <w:t>无须</w:t>
                  </w:r>
                </w:p>
                <w:p w14:paraId="71645ADB">
                  <w:pPr>
                    <w:spacing w:line="240" w:lineRule="auto"/>
                    <w:ind w:firstLine="0" w:firstLineChars="0"/>
                    <w:jc w:val="center"/>
                    <w:rPr>
                      <w:sz w:val="21"/>
                      <w:szCs w:val="18"/>
                    </w:rPr>
                  </w:pPr>
                  <w:r>
                    <w:rPr>
                      <w:color w:val="000000"/>
                      <w:kern w:val="0"/>
                      <w:sz w:val="21"/>
                      <w:szCs w:val="18"/>
                    </w:rPr>
                    <w:t>设置</w:t>
                  </w:r>
                </w:p>
              </w:tc>
            </w:tr>
            <w:tr w14:paraId="3E454C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2" w:hRule="atLeast"/>
                <w:jc w:val="center"/>
              </w:trPr>
              <w:tc>
                <w:tcPr>
                  <w:tcW w:w="1076" w:type="dxa"/>
                  <w:vAlign w:val="center"/>
                </w:tcPr>
                <w:p w14:paraId="64D3C19D">
                  <w:pPr>
                    <w:adjustRightInd w:val="0"/>
                    <w:snapToGrid w:val="0"/>
                    <w:spacing w:line="240" w:lineRule="auto"/>
                    <w:ind w:firstLine="0" w:firstLineChars="0"/>
                    <w:jc w:val="center"/>
                    <w:rPr>
                      <w:iCs/>
                      <w:kern w:val="0"/>
                      <w:sz w:val="21"/>
                      <w:szCs w:val="21"/>
                    </w:rPr>
                  </w:pPr>
                  <w:r>
                    <w:rPr>
                      <w:rFonts w:hint="eastAsia"/>
                      <w:iCs/>
                      <w:kern w:val="0"/>
                      <w:sz w:val="21"/>
                      <w:szCs w:val="21"/>
                    </w:rPr>
                    <w:t>生态</w:t>
                  </w:r>
                </w:p>
              </w:tc>
              <w:tc>
                <w:tcPr>
                  <w:tcW w:w="2603" w:type="dxa"/>
                  <w:vAlign w:val="center"/>
                </w:tcPr>
                <w:p w14:paraId="3A1E1B7B">
                  <w:pPr>
                    <w:adjustRightInd w:val="0"/>
                    <w:snapToGrid w:val="0"/>
                    <w:spacing w:line="240" w:lineRule="auto"/>
                    <w:ind w:firstLine="0" w:firstLineChars="0"/>
                    <w:jc w:val="center"/>
                    <w:rPr>
                      <w:iCs/>
                      <w:kern w:val="0"/>
                      <w:sz w:val="21"/>
                      <w:szCs w:val="21"/>
                    </w:rPr>
                  </w:pPr>
                  <w:r>
                    <w:rPr>
                      <w:rFonts w:hint="eastAsia"/>
                      <w:iCs/>
                      <w:kern w:val="0"/>
                      <w:sz w:val="21"/>
                      <w:szCs w:val="21"/>
                    </w:rPr>
                    <w:t>取水口下游500米范围内有重要水生生物的自然产卵场、索饵场、越冬场和洄游通道的新增河道取水的污染类建设项目</w:t>
                  </w:r>
                </w:p>
              </w:tc>
              <w:tc>
                <w:tcPr>
                  <w:tcW w:w="2407" w:type="dxa"/>
                  <w:vAlign w:val="center"/>
                </w:tcPr>
                <w:p w14:paraId="7A2F9EE2">
                  <w:pPr>
                    <w:spacing w:line="240" w:lineRule="auto"/>
                    <w:ind w:firstLine="0" w:firstLineChars="0"/>
                    <w:jc w:val="center"/>
                    <w:rPr>
                      <w:iCs/>
                      <w:kern w:val="0"/>
                      <w:sz w:val="21"/>
                      <w:szCs w:val="21"/>
                    </w:rPr>
                  </w:pPr>
                  <w:r>
                    <w:rPr>
                      <w:sz w:val="21"/>
                      <w:szCs w:val="21"/>
                    </w:rPr>
                    <w:t>本项目用水由市政给水管供给，不设置取水口</w:t>
                  </w:r>
                  <w:r>
                    <w:rPr>
                      <w:rFonts w:hint="eastAsia"/>
                      <w:sz w:val="21"/>
                      <w:szCs w:val="21"/>
                    </w:rPr>
                    <w:t>，不属于新增河道取水的污染类建设项目</w:t>
                  </w:r>
                </w:p>
              </w:tc>
              <w:tc>
                <w:tcPr>
                  <w:tcW w:w="945" w:type="dxa"/>
                  <w:vAlign w:val="center"/>
                </w:tcPr>
                <w:p w14:paraId="7D0C5BF1">
                  <w:pPr>
                    <w:spacing w:line="240" w:lineRule="auto"/>
                    <w:ind w:firstLine="0" w:firstLineChars="0"/>
                    <w:jc w:val="center"/>
                    <w:rPr>
                      <w:color w:val="000000"/>
                      <w:kern w:val="0"/>
                      <w:sz w:val="21"/>
                      <w:szCs w:val="18"/>
                    </w:rPr>
                  </w:pPr>
                  <w:r>
                    <w:rPr>
                      <w:color w:val="000000"/>
                      <w:kern w:val="0"/>
                      <w:sz w:val="21"/>
                      <w:szCs w:val="18"/>
                    </w:rPr>
                    <w:t>无须</w:t>
                  </w:r>
                </w:p>
                <w:p w14:paraId="76609513">
                  <w:pPr>
                    <w:spacing w:line="240" w:lineRule="auto"/>
                    <w:ind w:firstLine="0" w:firstLineChars="0"/>
                    <w:jc w:val="center"/>
                    <w:rPr>
                      <w:sz w:val="21"/>
                      <w:szCs w:val="18"/>
                    </w:rPr>
                  </w:pPr>
                  <w:r>
                    <w:rPr>
                      <w:color w:val="000000"/>
                      <w:kern w:val="0"/>
                      <w:sz w:val="21"/>
                      <w:szCs w:val="18"/>
                    </w:rPr>
                    <w:t>设置</w:t>
                  </w:r>
                </w:p>
              </w:tc>
            </w:tr>
            <w:tr w14:paraId="6944A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6" w:type="dxa"/>
                  <w:vAlign w:val="center"/>
                </w:tcPr>
                <w:p w14:paraId="3FB6A159">
                  <w:pPr>
                    <w:adjustRightInd w:val="0"/>
                    <w:snapToGrid w:val="0"/>
                    <w:spacing w:line="240" w:lineRule="auto"/>
                    <w:ind w:firstLine="0" w:firstLineChars="0"/>
                    <w:jc w:val="center"/>
                    <w:rPr>
                      <w:iCs/>
                      <w:kern w:val="0"/>
                      <w:sz w:val="21"/>
                      <w:szCs w:val="21"/>
                    </w:rPr>
                  </w:pPr>
                  <w:r>
                    <w:rPr>
                      <w:rFonts w:hint="eastAsia"/>
                      <w:iCs/>
                      <w:kern w:val="0"/>
                      <w:sz w:val="21"/>
                      <w:szCs w:val="21"/>
                    </w:rPr>
                    <w:t>海洋</w:t>
                  </w:r>
                </w:p>
              </w:tc>
              <w:tc>
                <w:tcPr>
                  <w:tcW w:w="2603" w:type="dxa"/>
                  <w:vAlign w:val="center"/>
                </w:tcPr>
                <w:p w14:paraId="09611DDD">
                  <w:pPr>
                    <w:adjustRightInd w:val="0"/>
                    <w:snapToGrid w:val="0"/>
                    <w:spacing w:line="240" w:lineRule="auto"/>
                    <w:ind w:firstLine="0" w:firstLineChars="0"/>
                    <w:jc w:val="center"/>
                    <w:rPr>
                      <w:iCs/>
                      <w:kern w:val="0"/>
                      <w:sz w:val="21"/>
                      <w:szCs w:val="21"/>
                    </w:rPr>
                  </w:pPr>
                  <w:r>
                    <w:rPr>
                      <w:rFonts w:hint="eastAsia"/>
                      <w:iCs/>
                      <w:kern w:val="0"/>
                      <w:sz w:val="21"/>
                      <w:szCs w:val="21"/>
                    </w:rPr>
                    <w:t>直接向海排放污染物的海洋工程建设项目</w:t>
                  </w:r>
                </w:p>
              </w:tc>
              <w:tc>
                <w:tcPr>
                  <w:tcW w:w="2407" w:type="dxa"/>
                  <w:vAlign w:val="center"/>
                </w:tcPr>
                <w:p w14:paraId="0ABB0D44">
                  <w:pPr>
                    <w:spacing w:line="240" w:lineRule="auto"/>
                    <w:ind w:firstLine="0" w:firstLineChars="0"/>
                    <w:jc w:val="center"/>
                    <w:rPr>
                      <w:iCs/>
                      <w:kern w:val="0"/>
                      <w:sz w:val="21"/>
                      <w:szCs w:val="21"/>
                    </w:rPr>
                  </w:pPr>
                  <w:r>
                    <w:rPr>
                      <w:sz w:val="21"/>
                      <w:szCs w:val="21"/>
                    </w:rPr>
                    <w:t>本项目不涉及海洋工程建设项目</w:t>
                  </w:r>
                </w:p>
              </w:tc>
              <w:tc>
                <w:tcPr>
                  <w:tcW w:w="945" w:type="dxa"/>
                  <w:vAlign w:val="center"/>
                </w:tcPr>
                <w:p w14:paraId="116AF251">
                  <w:pPr>
                    <w:spacing w:line="240" w:lineRule="auto"/>
                    <w:ind w:firstLine="0" w:firstLineChars="0"/>
                    <w:jc w:val="center"/>
                    <w:rPr>
                      <w:color w:val="000000"/>
                      <w:kern w:val="0"/>
                      <w:sz w:val="21"/>
                      <w:szCs w:val="18"/>
                    </w:rPr>
                  </w:pPr>
                  <w:r>
                    <w:rPr>
                      <w:color w:val="000000"/>
                      <w:kern w:val="0"/>
                      <w:sz w:val="21"/>
                      <w:szCs w:val="18"/>
                    </w:rPr>
                    <w:t>无须</w:t>
                  </w:r>
                </w:p>
                <w:p w14:paraId="5597F088">
                  <w:pPr>
                    <w:spacing w:line="240" w:lineRule="auto"/>
                    <w:ind w:firstLine="0" w:firstLineChars="0"/>
                    <w:jc w:val="center"/>
                    <w:rPr>
                      <w:sz w:val="21"/>
                      <w:szCs w:val="18"/>
                    </w:rPr>
                  </w:pPr>
                  <w:r>
                    <w:rPr>
                      <w:color w:val="000000"/>
                      <w:kern w:val="0"/>
                      <w:sz w:val="21"/>
                      <w:szCs w:val="18"/>
                    </w:rPr>
                    <w:t>设置</w:t>
                  </w:r>
                </w:p>
              </w:tc>
            </w:tr>
            <w:tr w14:paraId="48270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9" w:hRule="atLeast"/>
                <w:jc w:val="center"/>
              </w:trPr>
              <w:tc>
                <w:tcPr>
                  <w:tcW w:w="7031" w:type="dxa"/>
                  <w:gridSpan w:val="4"/>
                  <w:vAlign w:val="center"/>
                </w:tcPr>
                <w:p w14:paraId="370E1D35">
                  <w:pPr>
                    <w:ind w:firstLine="0" w:firstLineChars="0"/>
                    <w:rPr>
                      <w:sz w:val="21"/>
                      <w:szCs w:val="21"/>
                    </w:rPr>
                  </w:pPr>
                  <w:r>
                    <w:rPr>
                      <w:rFonts w:hint="eastAsia"/>
                      <w:sz w:val="21"/>
                      <w:szCs w:val="21"/>
                    </w:rPr>
                    <w:t>注：</w:t>
                  </w:r>
                </w:p>
                <w:p w14:paraId="2ECFB47D">
                  <w:pPr>
                    <w:ind w:firstLine="420"/>
                    <w:rPr>
                      <w:sz w:val="21"/>
                      <w:szCs w:val="21"/>
                    </w:rPr>
                  </w:pPr>
                  <w:r>
                    <w:rPr>
                      <w:rFonts w:hint="eastAsia"/>
                      <w:sz w:val="21"/>
                      <w:szCs w:val="21"/>
                    </w:rPr>
                    <w:t>1.废气中有毒有害污染物指纳入《有毒有害大气污染物名录》的污染物（不包括无排放标准的污染物）。</w:t>
                  </w:r>
                </w:p>
                <w:p w14:paraId="34BC58A3">
                  <w:pPr>
                    <w:ind w:firstLine="420"/>
                    <w:rPr>
                      <w:sz w:val="21"/>
                      <w:szCs w:val="21"/>
                    </w:rPr>
                  </w:pPr>
                  <w:r>
                    <w:rPr>
                      <w:rFonts w:hint="eastAsia"/>
                      <w:sz w:val="21"/>
                      <w:szCs w:val="21"/>
                    </w:rPr>
                    <w:t>2.环境空气保护目标指自然保护区、风景名胜区、居住区、文化区和农村地区中人群较集中的区域。</w:t>
                  </w:r>
                </w:p>
                <w:p w14:paraId="0B24D3AC">
                  <w:pPr>
                    <w:ind w:firstLine="420"/>
                    <w:rPr>
                      <w:rFonts w:ascii="宋体" w:hAnsi="宋体" w:cs="宋体"/>
                      <w:szCs w:val="21"/>
                    </w:rPr>
                  </w:pPr>
                  <w:r>
                    <w:rPr>
                      <w:rFonts w:hint="eastAsia"/>
                      <w:sz w:val="21"/>
                      <w:szCs w:val="21"/>
                    </w:rPr>
                    <w:t>3.临界量及其计算方法可参考《建设项目环境风险评价技术导则》（HJ169）附录B、附录C。</w:t>
                  </w:r>
                </w:p>
              </w:tc>
            </w:tr>
          </w:tbl>
          <w:p w14:paraId="0484D63C">
            <w:pPr>
              <w:ind w:firstLine="480"/>
            </w:pPr>
          </w:p>
        </w:tc>
      </w:tr>
      <w:tr w14:paraId="47B8E6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661" w:hRule="atLeast"/>
          <w:jc w:val="center"/>
        </w:trPr>
        <w:tc>
          <w:tcPr>
            <w:tcW w:w="1713" w:type="dxa"/>
            <w:vAlign w:val="center"/>
          </w:tcPr>
          <w:p w14:paraId="3AA0034B">
            <w:pPr>
              <w:adjustRightInd w:val="0"/>
              <w:snapToGrid w:val="0"/>
              <w:spacing w:line="240" w:lineRule="auto"/>
              <w:ind w:firstLine="0" w:firstLineChars="0"/>
              <w:jc w:val="center"/>
            </w:pPr>
            <w:r>
              <w:t>规划情况</w:t>
            </w:r>
          </w:p>
        </w:tc>
        <w:tc>
          <w:tcPr>
            <w:tcW w:w="7157" w:type="dxa"/>
            <w:gridSpan w:val="4"/>
            <w:vAlign w:val="center"/>
          </w:tcPr>
          <w:p w14:paraId="08B5D55E">
            <w:pPr>
              <w:widowControl/>
              <w:ind w:firstLine="0" w:firstLineChars="0"/>
              <w:jc w:val="left"/>
            </w:pPr>
            <w:r>
              <w:rPr>
                <w:rFonts w:hint="eastAsia"/>
              </w:rPr>
              <w:t>规划名称：《闽侯经济技术开发区规划提升（控制性详细规划和城市设计）》</w:t>
            </w:r>
          </w:p>
          <w:p w14:paraId="3F7F006A">
            <w:pPr>
              <w:widowControl/>
              <w:ind w:firstLine="0" w:firstLineChars="0"/>
              <w:jc w:val="left"/>
            </w:pPr>
            <w:r>
              <w:rPr>
                <w:rFonts w:hint="eastAsia"/>
              </w:rPr>
              <w:t>审批机关：闽侯县自然资源和规划局</w:t>
            </w:r>
          </w:p>
          <w:p w14:paraId="071E60D3">
            <w:pPr>
              <w:widowControl/>
              <w:ind w:firstLine="0" w:firstLineChars="0"/>
              <w:jc w:val="left"/>
            </w:pPr>
            <w:r>
              <w:rPr>
                <w:rFonts w:hint="eastAsia"/>
              </w:rPr>
              <w:t>审批文号：侯自然综〔2021〕512号</w:t>
            </w:r>
          </w:p>
          <w:p w14:paraId="71E55CAB">
            <w:pPr>
              <w:widowControl/>
              <w:ind w:firstLine="0" w:firstLineChars="0"/>
              <w:jc w:val="left"/>
            </w:pPr>
            <w:r>
              <w:rPr>
                <w:rFonts w:hint="eastAsia"/>
              </w:rPr>
              <w:t>规划名称：《闽侯县国土空间总体规划（2021-2035年）》</w:t>
            </w:r>
          </w:p>
          <w:p w14:paraId="0361A337">
            <w:pPr>
              <w:widowControl/>
              <w:ind w:firstLine="0" w:firstLineChars="0"/>
              <w:jc w:val="left"/>
            </w:pPr>
            <w:r>
              <w:rPr>
                <w:rFonts w:hint="eastAsia"/>
                <w:color w:val="000000"/>
              </w:rPr>
              <w:t>审批机关</w:t>
            </w:r>
            <w:r>
              <w:rPr>
                <w:rFonts w:hint="eastAsia"/>
              </w:rPr>
              <w:t>：闽侯县自然资源和规划局</w:t>
            </w:r>
          </w:p>
          <w:p w14:paraId="799ADBED">
            <w:pPr>
              <w:widowControl/>
              <w:ind w:firstLine="0" w:firstLineChars="0"/>
              <w:jc w:val="left"/>
            </w:pPr>
            <w:r>
              <w:rPr>
                <w:rFonts w:hint="eastAsia"/>
              </w:rPr>
              <w:t>审批文号：闽政文〔2024〕420号</w:t>
            </w:r>
          </w:p>
        </w:tc>
      </w:tr>
      <w:tr w14:paraId="64DC30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672" w:hRule="atLeast"/>
          <w:jc w:val="center"/>
        </w:trPr>
        <w:tc>
          <w:tcPr>
            <w:tcW w:w="1713" w:type="dxa"/>
            <w:vAlign w:val="center"/>
          </w:tcPr>
          <w:p w14:paraId="5EEB93B2">
            <w:pPr>
              <w:adjustRightInd w:val="0"/>
              <w:snapToGrid w:val="0"/>
              <w:spacing w:line="240" w:lineRule="auto"/>
              <w:ind w:firstLine="0" w:firstLineChars="0"/>
              <w:jc w:val="center"/>
            </w:pPr>
            <w:r>
              <w:t>规划环境影响评价情况</w:t>
            </w:r>
          </w:p>
        </w:tc>
        <w:tc>
          <w:tcPr>
            <w:tcW w:w="7157" w:type="dxa"/>
            <w:gridSpan w:val="4"/>
            <w:vAlign w:val="center"/>
          </w:tcPr>
          <w:p w14:paraId="6930F5A4">
            <w:pPr>
              <w:widowControl/>
              <w:spacing w:line="240" w:lineRule="auto"/>
              <w:ind w:firstLine="0" w:firstLineChars="0"/>
              <w:jc w:val="center"/>
              <w:rPr>
                <w:kern w:val="0"/>
                <w:lang w:bidi="ar"/>
              </w:rPr>
            </w:pPr>
            <w:r>
              <w:rPr>
                <w:rFonts w:hint="eastAsia" w:ascii="宋体" w:hAnsi="宋体" w:cs="宋体"/>
                <w:snapToGrid w:val="0"/>
                <w:color w:val="000000"/>
                <w:spacing w:val="-2"/>
                <w:kern w:val="0"/>
              </w:rPr>
              <w:t>/</w:t>
            </w:r>
          </w:p>
        </w:tc>
      </w:tr>
      <w:tr w14:paraId="6D52E4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9" w:type="dxa"/>
          <w:trHeight w:val="432" w:hRule="atLeast"/>
          <w:jc w:val="center"/>
        </w:trPr>
        <w:tc>
          <w:tcPr>
            <w:tcW w:w="1713" w:type="dxa"/>
            <w:vAlign w:val="center"/>
          </w:tcPr>
          <w:p w14:paraId="54C18DE5">
            <w:pPr>
              <w:adjustRightInd w:val="0"/>
              <w:snapToGrid w:val="0"/>
              <w:spacing w:line="240" w:lineRule="auto"/>
              <w:ind w:firstLine="0" w:firstLineChars="0"/>
              <w:jc w:val="center"/>
            </w:pPr>
            <w:r>
              <w:t>规划及规划环境影响评价符合性分析</w:t>
            </w:r>
          </w:p>
        </w:tc>
        <w:tc>
          <w:tcPr>
            <w:tcW w:w="7157" w:type="dxa"/>
            <w:gridSpan w:val="4"/>
            <w:vAlign w:val="center"/>
          </w:tcPr>
          <w:p w14:paraId="009B3776">
            <w:pPr>
              <w:widowControl/>
              <w:ind w:firstLine="0" w:firstLineChars="0"/>
              <w:jc w:val="left"/>
              <w:rPr>
                <w:b/>
                <w:bCs/>
                <w:kern w:val="0"/>
                <w:sz w:val="28"/>
                <w:szCs w:val="28"/>
                <w:lang w:bidi="ar"/>
              </w:rPr>
            </w:pPr>
            <w:r>
              <w:rPr>
                <w:b/>
                <w:bCs/>
                <w:kern w:val="0"/>
                <w:sz w:val="28"/>
                <w:szCs w:val="28"/>
                <w:lang w:bidi="ar"/>
              </w:rPr>
              <w:t>1.1 与</w:t>
            </w:r>
            <w:r>
              <w:rPr>
                <w:rFonts w:hint="eastAsia"/>
                <w:b/>
                <w:bCs/>
                <w:kern w:val="0"/>
                <w:sz w:val="28"/>
                <w:szCs w:val="28"/>
                <w:lang w:bidi="ar"/>
              </w:rPr>
              <w:t>《闽侯经济技术开发区规划提升（控制性详细规划和城市设计）》</w:t>
            </w:r>
            <w:r>
              <w:rPr>
                <w:b/>
                <w:bCs/>
                <w:kern w:val="0"/>
                <w:sz w:val="28"/>
                <w:szCs w:val="28"/>
                <w:lang w:bidi="ar"/>
              </w:rPr>
              <w:t>符合性分析</w:t>
            </w:r>
          </w:p>
          <w:p w14:paraId="0B509BB3">
            <w:pPr>
              <w:ind w:firstLine="480"/>
            </w:pPr>
            <w:r>
              <w:rPr>
                <w:rFonts w:hint="eastAsia"/>
              </w:rPr>
              <w:t>①规划简介</w:t>
            </w:r>
          </w:p>
          <w:p w14:paraId="0F01D111">
            <w:pPr>
              <w:ind w:firstLine="480"/>
            </w:pPr>
            <w:r>
              <w:rPr>
                <w:rFonts w:hint="eastAsia"/>
              </w:rPr>
              <w:t>闽侯经济技术开发区位于闽侯县城北部、峰福铁路以北。本次规划研究范围包含闽侯经济开发区一、二、三期、陈店湖工业园和关口工业区，南至峰福铁路、北至闽侯县城北部山体、东至石井路、西至闽侯大桥，涉及甘蔗、荆溪两个街道（镇），总用地面积912公顷。</w:t>
            </w:r>
          </w:p>
          <w:p w14:paraId="60F9FE57">
            <w:pPr>
              <w:ind w:firstLine="480"/>
            </w:pPr>
            <w:r>
              <w:rPr>
                <w:rFonts w:hint="eastAsia"/>
              </w:rPr>
              <w:t>②功能结构与产业布局</w:t>
            </w:r>
          </w:p>
          <w:p w14:paraId="2A7B31B2">
            <w:pPr>
              <w:ind w:firstLine="480"/>
            </w:pPr>
            <w:r>
              <w:rPr>
                <w:rFonts w:hint="eastAsia"/>
              </w:rPr>
              <w:t>本片区规划形成“一核、三心、一轴、两带、四区”的空间布局结构。“核”为园区综合服务中心，依托克姆湖水库山水环境与周边可开发用地资源，打造园区产城融合公服配套综合中心，布局商业商务、居住、公园绿地等混合功能，完善片区配套，满足不同层次人群需求；“三心”为西部陈店湖创意家居荟聚中心、中部智能制造示范区管理服务中心、东部都市型工业示范区服务中心；“一轴”为沿北环通道发展轴，依托规划北环快速通道串联三个产业园区融合发展，东西向快速与福州城区、竹岐对外联系；“两带”为沿陈店湖山体的景观带、沿荆溪及西侧山体的景观带；“四区”为陈店湖国际创意家居生产聚集区、克姆湖产城融合综合发展区、铁岭二期智能制造工业示范区及铁岭一期都市型工业集聚区。</w:t>
            </w:r>
          </w:p>
          <w:p w14:paraId="67AA839B">
            <w:pPr>
              <w:ind w:firstLine="480"/>
            </w:pPr>
            <w:r>
              <w:rPr>
                <w:rFonts w:hint="eastAsia"/>
              </w:rPr>
              <w:t>③符合性分析</w:t>
            </w:r>
          </w:p>
          <w:p w14:paraId="2BAD9655">
            <w:pPr>
              <w:pStyle w:val="145"/>
              <w:ind w:firstLine="480"/>
            </w:pPr>
            <w:r>
              <w:rPr>
                <w:rFonts w:hint="eastAsia"/>
              </w:rPr>
              <w:t>本项目位于</w:t>
            </w:r>
            <w:r>
              <w:rPr>
                <w:rFonts w:hint="eastAsia"/>
                <w:szCs w:val="24"/>
              </w:rPr>
              <w:t>福建省福州市</w:t>
            </w:r>
            <w:r>
              <w:rPr>
                <w:szCs w:val="24"/>
              </w:rPr>
              <w:t>闽侯县甘蔗街道</w:t>
            </w:r>
            <w:r>
              <w:rPr>
                <w:rFonts w:hint="eastAsia"/>
                <w:szCs w:val="24"/>
              </w:rPr>
              <w:t>陈店湖</w:t>
            </w:r>
            <w:r>
              <w:rPr>
                <w:szCs w:val="24"/>
              </w:rPr>
              <w:t>路</w:t>
            </w:r>
            <w:r>
              <w:rPr>
                <w:rFonts w:hint="eastAsia"/>
                <w:szCs w:val="24"/>
              </w:rPr>
              <w:t>1</w:t>
            </w:r>
            <w:r>
              <w:rPr>
                <w:szCs w:val="24"/>
              </w:rPr>
              <w:t>8号</w:t>
            </w:r>
            <w:r>
              <w:rPr>
                <w:rFonts w:hint="eastAsia"/>
                <w:szCs w:val="24"/>
              </w:rPr>
              <w:t>，根据项目在闽侯经济技术开发区规划提升中的位置，详见附图5，本项目座落福建省福州市闽侯县甘蔗街道陈店湖工业集中区，位于“四区”中陈店湖国际创意家居生产聚集区，</w:t>
            </w:r>
            <w:r>
              <w:t>该项目</w:t>
            </w:r>
            <w:r>
              <w:rPr>
                <w:rFonts w:hint="eastAsia"/>
              </w:rPr>
              <w:t>已于</w:t>
            </w:r>
            <w:r>
              <w:t>202</w:t>
            </w:r>
            <w:r>
              <w:rPr>
                <w:rFonts w:hint="eastAsia"/>
              </w:rPr>
              <w:t>6</w:t>
            </w:r>
            <w:r>
              <w:t>年</w:t>
            </w:r>
            <w:r>
              <w:rPr>
                <w:rFonts w:hint="eastAsia"/>
              </w:rPr>
              <w:t>2</w:t>
            </w:r>
            <w:r>
              <w:t>月</w:t>
            </w:r>
            <w:r>
              <w:rPr>
                <w:rFonts w:hint="eastAsia"/>
              </w:rPr>
              <w:t>2</w:t>
            </w:r>
            <w:r>
              <w:t>日</w:t>
            </w:r>
            <w:r>
              <w:rPr>
                <w:rFonts w:hint="eastAsia"/>
              </w:rPr>
              <w:t>在闽侯县发改局进行了备案（备案号</w:t>
            </w:r>
            <w:r>
              <w:t>闽发改备〔2026〕A080067号</w:t>
            </w:r>
            <w:r>
              <w:rPr>
                <w:rFonts w:hint="eastAsia"/>
              </w:rPr>
              <w:t>）</w:t>
            </w:r>
            <w:r>
              <w:t>，</w:t>
            </w:r>
            <w:r>
              <w:rPr>
                <w:rFonts w:hint="eastAsia"/>
              </w:rPr>
              <w:t>详见附件</w:t>
            </w:r>
            <w:r>
              <w:rPr>
                <w:rFonts w:hint="eastAsia"/>
                <w:lang w:val="en-US" w:eastAsia="zh-CN"/>
              </w:rPr>
              <w:t>2</w:t>
            </w:r>
            <w:r>
              <w:rPr>
                <w:rFonts w:hint="eastAsia"/>
              </w:rPr>
              <w:t>。</w:t>
            </w:r>
            <w:r>
              <w:t>因此项目的建设内容</w:t>
            </w:r>
            <w:r>
              <w:rPr>
                <w:rFonts w:hint="eastAsia"/>
              </w:rPr>
              <w:t>与《闽侯经济技术开发区规划提升（控制性详细规划和城市设计）》的功能定位及用地布局不冲突，符合要求。</w:t>
            </w:r>
          </w:p>
          <w:p w14:paraId="08EDAB00">
            <w:pPr>
              <w:ind w:firstLine="0" w:firstLineChars="0"/>
              <w:jc w:val="left"/>
              <w:rPr>
                <w:b/>
                <w:bCs/>
                <w:kern w:val="0"/>
                <w:sz w:val="28"/>
                <w:szCs w:val="28"/>
                <w:lang w:bidi="ar"/>
              </w:rPr>
            </w:pPr>
            <w:r>
              <w:rPr>
                <w:b/>
                <w:bCs/>
                <w:kern w:val="0"/>
                <w:sz w:val="28"/>
                <w:szCs w:val="28"/>
                <w:lang w:bidi="ar"/>
              </w:rPr>
              <w:t>1.</w:t>
            </w:r>
            <w:r>
              <w:rPr>
                <w:rFonts w:hint="eastAsia"/>
                <w:b/>
                <w:bCs/>
                <w:kern w:val="0"/>
                <w:sz w:val="28"/>
                <w:szCs w:val="28"/>
                <w:lang w:bidi="ar"/>
              </w:rPr>
              <w:t>2</w:t>
            </w:r>
            <w:r>
              <w:rPr>
                <w:b/>
                <w:bCs/>
                <w:kern w:val="0"/>
                <w:sz w:val="28"/>
                <w:szCs w:val="28"/>
                <w:lang w:bidi="ar"/>
              </w:rPr>
              <w:t xml:space="preserve"> 与</w:t>
            </w:r>
            <w:r>
              <w:rPr>
                <w:rFonts w:hint="eastAsia"/>
                <w:b/>
                <w:bCs/>
                <w:kern w:val="0"/>
                <w:sz w:val="28"/>
                <w:szCs w:val="28"/>
                <w:lang w:bidi="ar"/>
              </w:rPr>
              <w:t>《闽侯县国土空间总体规划（2021-2035年）》</w:t>
            </w:r>
            <w:r>
              <w:rPr>
                <w:b/>
                <w:bCs/>
                <w:kern w:val="0"/>
                <w:sz w:val="28"/>
                <w:szCs w:val="28"/>
                <w:lang w:bidi="ar"/>
              </w:rPr>
              <w:t>符合性分析</w:t>
            </w:r>
          </w:p>
          <w:p w14:paraId="250A67E3">
            <w:pPr>
              <w:pStyle w:val="145"/>
              <w:ind w:firstLine="480"/>
              <w:rPr>
                <w:rFonts w:cs="宋体"/>
              </w:rPr>
            </w:pPr>
            <w:r>
              <w:rPr>
                <w:rFonts w:cs="宋体"/>
              </w:rPr>
              <w:t>①国土空间总体格局：构建</w:t>
            </w:r>
            <w:r>
              <w:rPr>
                <w:rFonts w:hint="eastAsia" w:cs="宋体"/>
              </w:rPr>
              <w:t>“</w:t>
            </w:r>
            <w:r>
              <w:rPr>
                <w:rFonts w:cs="宋体"/>
              </w:rPr>
              <w:t>两轴、两区、三心</w:t>
            </w:r>
            <w:r>
              <w:rPr>
                <w:rFonts w:hint="eastAsia" w:cs="宋体"/>
              </w:rPr>
              <w:t>”</w:t>
            </w:r>
            <w:r>
              <w:rPr>
                <w:rFonts w:cs="宋体"/>
              </w:rPr>
              <w:t>的国土空间总体格局，两轴：沿江发展轴、山区发展轴，两区：滨海新城区、特色山区，三心：科学城副中心、荆甘竹新城县域中心，雪峰山城中心。</w:t>
            </w:r>
          </w:p>
          <w:p w14:paraId="0647D4D1">
            <w:pPr>
              <w:pStyle w:val="145"/>
              <w:ind w:firstLine="480"/>
              <w:rPr>
                <w:rFonts w:cs="宋体"/>
              </w:rPr>
            </w:pPr>
            <w:r>
              <w:rPr>
                <w:rFonts w:cs="宋体"/>
              </w:rPr>
              <w:t>②国土空间三条控制线划定：</w:t>
            </w:r>
          </w:p>
          <w:p w14:paraId="0ABAEFDE">
            <w:pPr>
              <w:pStyle w:val="145"/>
              <w:ind w:firstLine="480"/>
              <w:rPr>
                <w:rFonts w:cs="宋体"/>
              </w:rPr>
            </w:pPr>
            <w:r>
              <w:rPr>
                <w:rFonts w:cs="宋体"/>
              </w:rPr>
              <w:t>严格划定永久基本农田：闽侯县划定永久基本农田保护目标135平方公里。永久基本农田一经划定，必须严格落实《基本农田保护条例》和《福建省基本农田保护条例》，严控建设占用永久基本农田。科学划定生态保护红线</w:t>
            </w:r>
            <w:r>
              <w:rPr>
                <w:rFonts w:hint="eastAsia" w:cs="宋体"/>
              </w:rPr>
              <w:t>：</w:t>
            </w:r>
            <w:r>
              <w:rPr>
                <w:rFonts w:cs="宋体"/>
              </w:rPr>
              <w:t>闽侯县划定生态保护红线目标420平方公里。实行最严格的生态保护红线管控制度，按照《生态保护红线管理办法》要求执行，除国家重大战略项目外，仅允许对生态功能不破坏的有限人为活动。</w:t>
            </w:r>
          </w:p>
          <w:p w14:paraId="60ADB69F">
            <w:pPr>
              <w:pStyle w:val="145"/>
              <w:ind w:firstLine="480"/>
              <w:rPr>
                <w:rFonts w:cs="宋体"/>
              </w:rPr>
            </w:pPr>
            <w:r>
              <w:rPr>
                <w:rFonts w:cs="宋体"/>
              </w:rPr>
              <w:t>合理确定城镇开发边界：闽侯县划定城镇开发边界145平方公里城镇开发边界一经划定，原则上不得调整，因国家重大战略调整、自国家重大项目建设、行政区划调整等确需调整的、按国土空间规划修改程序进行。</w:t>
            </w:r>
          </w:p>
          <w:p w14:paraId="3CE4EC45">
            <w:pPr>
              <w:pStyle w:val="145"/>
              <w:ind w:firstLine="480"/>
            </w:pPr>
            <w:r>
              <w:rPr>
                <w:rFonts w:hint="eastAsia"/>
              </w:rPr>
              <w:t>③符合性分析</w:t>
            </w:r>
          </w:p>
          <w:p w14:paraId="18D2A3C8">
            <w:pPr>
              <w:ind w:firstLine="480"/>
            </w:pPr>
            <w:r>
              <w:rPr>
                <w:rFonts w:hint="eastAsia"/>
                <w:highlight w:val="none"/>
              </w:rPr>
              <w:t>本项目位于福建省福州市</w:t>
            </w:r>
            <w:r>
              <w:rPr>
                <w:highlight w:val="none"/>
              </w:rPr>
              <w:t>闽侯县甘蔗街道</w:t>
            </w:r>
            <w:r>
              <w:rPr>
                <w:rFonts w:hint="eastAsia"/>
                <w:highlight w:val="none"/>
              </w:rPr>
              <w:t>陈店湖</w:t>
            </w:r>
            <w:r>
              <w:rPr>
                <w:highlight w:val="none"/>
              </w:rPr>
              <w:t>路</w:t>
            </w:r>
            <w:r>
              <w:rPr>
                <w:rFonts w:hint="eastAsia"/>
                <w:highlight w:val="none"/>
              </w:rPr>
              <w:t>1</w:t>
            </w:r>
            <w:r>
              <w:rPr>
                <w:highlight w:val="none"/>
              </w:rPr>
              <w:t>8号</w:t>
            </w:r>
            <w:r>
              <w:rPr>
                <w:rFonts w:hint="eastAsia"/>
                <w:highlight w:val="none"/>
              </w:rPr>
              <w:t>，据闽侯经济技术开发区规划提升——土地利用规划图</w:t>
            </w:r>
            <w:r>
              <w:rPr>
                <w:rFonts w:hint="eastAsia"/>
                <w:highlight w:val="none"/>
                <w:lang w:eastAsia="zh-CN"/>
              </w:rPr>
              <w:t>（</w:t>
            </w:r>
            <w:r>
              <w:rPr>
                <w:rFonts w:hint="eastAsia"/>
                <w:highlight w:val="none"/>
                <w:lang w:val="en-US" w:eastAsia="zh-CN"/>
              </w:rPr>
              <w:t>详见附图5</w:t>
            </w:r>
            <w:r>
              <w:rPr>
                <w:rFonts w:hint="eastAsia"/>
                <w:highlight w:val="none"/>
                <w:lang w:eastAsia="zh-CN"/>
              </w:rPr>
              <w:t>）、</w:t>
            </w:r>
            <w:r>
              <w:rPr>
                <w:rFonts w:hint="eastAsia"/>
                <w:highlight w:val="none"/>
              </w:rPr>
              <w:t>项目用地不动产权证（详见附件4）及厂房租赁合同（详见附件</w:t>
            </w:r>
            <w:r>
              <w:rPr>
                <w:rFonts w:hint="eastAsia"/>
                <w:highlight w:val="none"/>
                <w:lang w:val="en-US" w:eastAsia="zh-CN"/>
              </w:rPr>
              <w:t>6</w:t>
            </w:r>
            <w:r>
              <w:rPr>
                <w:rFonts w:hint="eastAsia"/>
                <w:highlight w:val="none"/>
              </w:rPr>
              <w:t>），</w:t>
            </w:r>
            <w:r>
              <w:rPr>
                <w:rFonts w:hint="eastAsia"/>
              </w:rPr>
              <w:t>项目所在地用地性质为工业用地，项目建成后主要从事干粉砂浆的生产，生产过程不涉及生产用水</w:t>
            </w:r>
            <w:r>
              <w:t>，</w:t>
            </w:r>
            <w:r>
              <w:rPr>
                <w:rFonts w:cs="宋体"/>
              </w:rPr>
              <w:t>不在划定城镇开发边界外，地块不涉及永久基本农田，不涉及闽侯县划定的生态保护红线区域，因此本项目的建设符合《闽侯县国土空间总体规划（2021-2035年</w:t>
            </w:r>
            <w:r>
              <w:rPr>
                <w:rFonts w:hint="eastAsia" w:cs="宋体"/>
              </w:rPr>
              <w:t>）</w:t>
            </w:r>
            <w:r>
              <w:rPr>
                <w:rFonts w:cs="宋体"/>
              </w:rPr>
              <w:t>》的要求。</w:t>
            </w:r>
          </w:p>
        </w:tc>
      </w:tr>
      <w:tr w14:paraId="611AB0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1713" w:type="dxa"/>
            <w:vAlign w:val="center"/>
          </w:tcPr>
          <w:p w14:paraId="3534C213">
            <w:pPr>
              <w:adjustRightInd w:val="0"/>
              <w:snapToGrid w:val="0"/>
              <w:spacing w:line="240" w:lineRule="auto"/>
              <w:ind w:firstLine="0" w:firstLineChars="0"/>
              <w:jc w:val="center"/>
            </w:pPr>
            <w:r>
              <w:t>其他符合性分析</w:t>
            </w:r>
          </w:p>
        </w:tc>
        <w:tc>
          <w:tcPr>
            <w:tcW w:w="7186" w:type="dxa"/>
            <w:gridSpan w:val="5"/>
            <w:vAlign w:val="center"/>
          </w:tcPr>
          <w:p w14:paraId="706007AF">
            <w:pPr>
              <w:widowControl/>
              <w:ind w:firstLine="0" w:firstLineChars="0"/>
              <w:jc w:val="left"/>
              <w:rPr>
                <w:b/>
                <w:bCs/>
                <w:kern w:val="0"/>
                <w:sz w:val="28"/>
                <w:szCs w:val="28"/>
                <w:lang w:bidi="ar"/>
              </w:rPr>
            </w:pPr>
            <w:r>
              <w:rPr>
                <w:b/>
                <w:bCs/>
                <w:kern w:val="0"/>
                <w:sz w:val="28"/>
                <w:szCs w:val="28"/>
                <w:lang w:bidi="ar"/>
              </w:rPr>
              <w:t>1.</w:t>
            </w:r>
            <w:r>
              <w:rPr>
                <w:rFonts w:hint="eastAsia"/>
                <w:b/>
                <w:bCs/>
                <w:kern w:val="0"/>
                <w:sz w:val="28"/>
                <w:szCs w:val="28"/>
                <w:lang w:bidi="ar"/>
              </w:rPr>
              <w:t>3</w:t>
            </w:r>
            <w:r>
              <w:rPr>
                <w:b/>
                <w:bCs/>
                <w:kern w:val="0"/>
                <w:sz w:val="28"/>
                <w:szCs w:val="28"/>
                <w:lang w:bidi="ar"/>
              </w:rPr>
              <w:t xml:space="preserve"> </w:t>
            </w:r>
            <w:r>
              <w:rPr>
                <w:rFonts w:hint="eastAsia"/>
                <w:b/>
                <w:bCs/>
                <w:kern w:val="0"/>
                <w:sz w:val="28"/>
                <w:szCs w:val="28"/>
                <w:lang w:bidi="ar"/>
              </w:rPr>
              <w:t>产业政策符合性分析</w:t>
            </w:r>
          </w:p>
          <w:p w14:paraId="3950FC13">
            <w:pPr>
              <w:pStyle w:val="10"/>
              <w:ind w:firstLine="480"/>
              <w:rPr>
                <w:color w:val="000000"/>
              </w:rPr>
            </w:pPr>
            <w:r>
              <w:rPr>
                <w:rFonts w:hint="eastAsia"/>
              </w:rPr>
              <w:t>本项目属于</w:t>
            </w:r>
            <w:r>
              <w:rPr>
                <w:rFonts w:hint="eastAsia"/>
                <w:color w:val="000000"/>
              </w:rPr>
              <w:t>《国民经济行业分类》中“</w:t>
            </w:r>
            <w:r>
              <w:t>C303</w:t>
            </w:r>
            <w:r>
              <w:rPr>
                <w:rFonts w:hint="eastAsia"/>
              </w:rPr>
              <w:t xml:space="preserve">9 </w:t>
            </w:r>
            <w:r>
              <w:t>其他建筑材料制造</w:t>
            </w:r>
            <w:r>
              <w:rPr>
                <w:rFonts w:hint="eastAsia"/>
                <w:color w:val="000000"/>
              </w:rPr>
              <w:t>”</w:t>
            </w:r>
            <w:r>
              <w:rPr>
                <w:rFonts w:hint="eastAsia"/>
              </w:rPr>
              <w:t>，主要从事干粉砂浆拌合生产，不属于国家发改委发布的《产业结构调整指导目录（2024年本）》中的鼓励类、限制类和淘汰类，属于允许建设项目，</w:t>
            </w:r>
            <w:r>
              <w:rPr>
                <w:rFonts w:hint="eastAsia"/>
                <w:color w:val="000000"/>
              </w:rPr>
              <w:t>且未被纳入《市场准入负面清单（2025年版）》负面清单中，项目符合国家有关法律、法规和政策规定，为允许类，</w:t>
            </w:r>
          </w:p>
          <w:p w14:paraId="67300CE8">
            <w:pPr>
              <w:pStyle w:val="136"/>
              <w:ind w:firstLine="480"/>
            </w:pPr>
            <w:r>
              <w:t>对照《自然资源要素支撑产业高质量发展指导目录</w:t>
            </w:r>
            <w:r>
              <w:rPr>
                <w:rFonts w:hint="eastAsia"/>
              </w:rPr>
              <w:t>（</w:t>
            </w:r>
            <w:r>
              <w:t>2024年本</w:t>
            </w:r>
            <w:r>
              <w:rPr>
                <w:rFonts w:hint="eastAsia"/>
              </w:rPr>
              <w:t>）</w:t>
            </w:r>
            <w:r>
              <w:t>》（自然资发〔2024〕273号）</w:t>
            </w:r>
            <w:r>
              <w:rPr>
                <w:rFonts w:hint="eastAsia"/>
              </w:rPr>
              <w:t>，</w:t>
            </w:r>
            <w:r>
              <w:t>项目属于允许类。</w:t>
            </w:r>
            <w:r>
              <w:rPr>
                <w:rFonts w:hint="eastAsia"/>
              </w:rPr>
              <w:t>且</w:t>
            </w:r>
            <w:r>
              <w:rPr>
                <w:rFonts w:hint="eastAsia" w:cs="Times New Roman"/>
              </w:rPr>
              <w:t>福建省迈客邦建材有限公司年产30000吨干粉砂浆项目于</w:t>
            </w:r>
            <w:r>
              <w:rPr>
                <w:rFonts w:cs="Times New Roman"/>
              </w:rPr>
              <w:t>202</w:t>
            </w:r>
            <w:r>
              <w:rPr>
                <w:rFonts w:hint="eastAsia" w:cs="Times New Roman"/>
              </w:rPr>
              <w:t>6</w:t>
            </w:r>
            <w:r>
              <w:rPr>
                <w:rFonts w:cs="Times New Roman"/>
              </w:rPr>
              <w:t>年</w:t>
            </w:r>
            <w:r>
              <w:rPr>
                <w:rFonts w:hint="eastAsia" w:cs="Times New Roman"/>
              </w:rPr>
              <w:t>2</w:t>
            </w:r>
            <w:r>
              <w:rPr>
                <w:rFonts w:cs="Times New Roman"/>
              </w:rPr>
              <w:t>月</w:t>
            </w:r>
            <w:r>
              <w:rPr>
                <w:rFonts w:hint="eastAsia" w:cs="Times New Roman"/>
              </w:rPr>
              <w:t>2</w:t>
            </w:r>
            <w:r>
              <w:rPr>
                <w:rFonts w:cs="Times New Roman"/>
              </w:rPr>
              <w:t>日</w:t>
            </w:r>
            <w:r>
              <w:rPr>
                <w:rFonts w:hint="eastAsia" w:cs="Times New Roman"/>
              </w:rPr>
              <w:t>在闽侯县发改局进行了备案（备案号</w:t>
            </w:r>
            <w:r>
              <w:rPr>
                <w:rFonts w:cs="Times New Roman"/>
              </w:rPr>
              <w:t>闽发改备〔2026〕A080067号）</w:t>
            </w:r>
            <w:r>
              <w:rPr>
                <w:rFonts w:hint="eastAsia" w:cs="Times New Roman"/>
              </w:rPr>
              <w:t>）</w:t>
            </w:r>
            <w:r>
              <w:rPr>
                <w:rFonts w:cs="Times New Roman"/>
              </w:rPr>
              <w:t>，</w:t>
            </w:r>
            <w:r>
              <w:rPr>
                <w:rFonts w:hint="eastAsia" w:cs="Times New Roman"/>
              </w:rPr>
              <w:t>详见附件</w:t>
            </w:r>
            <w:r>
              <w:rPr>
                <w:rFonts w:hint="eastAsia" w:cs="Times New Roman"/>
                <w:lang w:val="en-US" w:eastAsia="zh-CN"/>
              </w:rPr>
              <w:t>2</w:t>
            </w:r>
            <w:r>
              <w:rPr>
                <w:rFonts w:hint="eastAsia" w:cs="Times New Roman"/>
              </w:rPr>
              <w:t>。</w:t>
            </w:r>
            <w:r>
              <w:t>因此项目的建设内容符合当前国家和地方的产业政策。</w:t>
            </w:r>
          </w:p>
          <w:p w14:paraId="17D2E8D8">
            <w:pPr>
              <w:pStyle w:val="10"/>
              <w:ind w:firstLine="0" w:firstLineChars="0"/>
              <w:rPr>
                <w:b/>
                <w:bCs/>
                <w:sz w:val="28"/>
                <w:szCs w:val="28"/>
                <w:lang w:bidi="ar"/>
              </w:rPr>
            </w:pPr>
            <w:r>
              <w:rPr>
                <w:b/>
                <w:bCs/>
                <w:sz w:val="28"/>
                <w:szCs w:val="28"/>
                <w:lang w:bidi="ar"/>
              </w:rPr>
              <w:t>1.</w:t>
            </w:r>
            <w:r>
              <w:rPr>
                <w:rFonts w:hint="eastAsia"/>
                <w:b/>
                <w:bCs/>
                <w:sz w:val="28"/>
                <w:szCs w:val="28"/>
                <w:lang w:bidi="ar"/>
              </w:rPr>
              <w:t>4</w:t>
            </w:r>
            <w:r>
              <w:rPr>
                <w:b/>
                <w:bCs/>
                <w:sz w:val="28"/>
                <w:szCs w:val="28"/>
                <w:lang w:bidi="ar"/>
              </w:rPr>
              <w:t xml:space="preserve"> </w:t>
            </w:r>
            <w:r>
              <w:rPr>
                <w:rFonts w:hint="eastAsia"/>
                <w:b/>
                <w:bCs/>
                <w:sz w:val="28"/>
                <w:szCs w:val="28"/>
                <w:lang w:bidi="ar"/>
              </w:rPr>
              <w:t>选址合理性分析</w:t>
            </w:r>
          </w:p>
          <w:p w14:paraId="3DE5E4BE">
            <w:pPr>
              <w:pStyle w:val="139"/>
              <w:jc w:val="center"/>
              <w:rPr>
                <w:color w:val="FF0000"/>
              </w:rPr>
            </w:pPr>
            <w:r>
              <w:rPr>
                <w:rFonts w:cs="Times New Roman"/>
                <w:color w:val="auto"/>
              </w:rPr>
              <w:t>本项目位于</w:t>
            </w:r>
            <w:r>
              <w:rPr>
                <w:rFonts w:hint="eastAsia" w:cs="Times New Roman"/>
                <w:color w:val="auto"/>
                <w:szCs w:val="24"/>
              </w:rPr>
              <w:t>福建省福州市</w:t>
            </w:r>
            <w:r>
              <w:rPr>
                <w:rFonts w:cs="Times New Roman"/>
                <w:color w:val="auto"/>
                <w:szCs w:val="24"/>
              </w:rPr>
              <w:t>闽侯县甘蔗</w:t>
            </w:r>
            <w:r>
              <w:rPr>
                <w:rFonts w:cs="Times New Roman"/>
                <w:color w:val="auto"/>
                <w:szCs w:val="24"/>
                <w:highlight w:val="none"/>
              </w:rPr>
              <w:t>街道</w:t>
            </w:r>
            <w:r>
              <w:rPr>
                <w:rFonts w:hint="eastAsia" w:cs="Times New Roman"/>
                <w:color w:val="auto"/>
                <w:szCs w:val="24"/>
                <w:highlight w:val="none"/>
              </w:rPr>
              <w:t>陈店湖</w:t>
            </w:r>
            <w:r>
              <w:rPr>
                <w:rFonts w:cs="Times New Roman"/>
                <w:color w:val="auto"/>
                <w:szCs w:val="24"/>
                <w:highlight w:val="none"/>
              </w:rPr>
              <w:t>路</w:t>
            </w:r>
            <w:r>
              <w:rPr>
                <w:rFonts w:hint="eastAsia" w:cs="Times New Roman"/>
                <w:color w:val="auto"/>
                <w:szCs w:val="24"/>
                <w:highlight w:val="none"/>
              </w:rPr>
              <w:t>1</w:t>
            </w:r>
            <w:r>
              <w:rPr>
                <w:rFonts w:cs="Times New Roman"/>
                <w:color w:val="auto"/>
                <w:szCs w:val="24"/>
                <w:highlight w:val="none"/>
              </w:rPr>
              <w:t>8号</w:t>
            </w:r>
            <w:r>
              <w:rPr>
                <w:rFonts w:cs="Times New Roman"/>
                <w:color w:val="auto"/>
                <w:highlight w:val="none"/>
              </w:rPr>
              <w:t>，</w:t>
            </w:r>
            <w:r>
              <w:rPr>
                <w:rFonts w:hint="eastAsia"/>
                <w:color w:val="auto"/>
                <w:highlight w:val="none"/>
              </w:rPr>
              <w:t>租赁福州倍丰实业有限公司地下室部分场地（实为地上建筑），根据</w:t>
            </w:r>
            <w:r>
              <w:rPr>
                <w:rFonts w:hint="eastAsia"/>
              </w:rPr>
              <w:t>项目租赁地块不动产权证</w:t>
            </w:r>
            <w:r>
              <w:rPr>
                <w:rFonts w:hint="eastAsia"/>
                <w:color w:val="auto"/>
              </w:rPr>
              <w:t>（见附件4），地块用地性质为工业用地。</w:t>
            </w:r>
          </w:p>
          <w:p w14:paraId="7D3C7FA4">
            <w:pPr>
              <w:ind w:firstLine="480"/>
              <w:rPr>
                <w:b/>
                <w:bCs/>
                <w:kern w:val="0"/>
                <w:sz w:val="28"/>
                <w:szCs w:val="28"/>
                <w:lang w:bidi="ar"/>
              </w:rPr>
            </w:pPr>
            <w:r>
              <w:rPr>
                <w:rFonts w:hint="eastAsia"/>
                <w:szCs w:val="22"/>
              </w:rPr>
              <w:t>同时对照闽侯经济技术开发区规划提升-土地利用规划图（详见附图5），项目所在地用地性质为工业用地，项目建成后主要从事干粉砂浆生产，属于工业企业</w:t>
            </w:r>
            <w:r>
              <w:rPr>
                <w:rFonts w:hint="eastAsia" w:cs="宋体"/>
                <w:szCs w:val="22"/>
              </w:rPr>
              <w:t>。</w:t>
            </w:r>
            <w:r>
              <w:rPr>
                <w:rFonts w:hint="eastAsia"/>
                <w:szCs w:val="22"/>
              </w:rPr>
              <w:t>因此，本项目选址可行。</w:t>
            </w:r>
          </w:p>
          <w:p w14:paraId="4267D521">
            <w:pPr>
              <w:widowControl/>
              <w:ind w:firstLine="0" w:firstLineChars="0"/>
              <w:jc w:val="left"/>
              <w:rPr>
                <w:b/>
                <w:bCs/>
                <w:kern w:val="0"/>
                <w:sz w:val="28"/>
                <w:szCs w:val="28"/>
                <w:lang w:bidi="ar"/>
              </w:rPr>
            </w:pPr>
            <w:r>
              <w:rPr>
                <w:rFonts w:hint="eastAsia"/>
                <w:b/>
                <w:bCs/>
                <w:kern w:val="0"/>
                <w:sz w:val="28"/>
                <w:szCs w:val="28"/>
                <w:lang w:bidi="ar"/>
              </w:rPr>
              <w:t xml:space="preserve">1.5 </w:t>
            </w:r>
            <w:r>
              <w:rPr>
                <w:b/>
                <w:bCs/>
                <w:kern w:val="0"/>
                <w:sz w:val="28"/>
                <w:szCs w:val="28"/>
                <w:lang w:bidi="ar"/>
              </w:rPr>
              <w:t>与周边相容性分析</w:t>
            </w:r>
          </w:p>
          <w:p w14:paraId="2430D2AD">
            <w:pPr>
              <w:ind w:firstLine="480"/>
            </w:pPr>
            <w:r>
              <w:t>根据现场踏勘，项目</w:t>
            </w:r>
            <w:r>
              <w:rPr>
                <w:rFonts w:hint="eastAsia"/>
              </w:rPr>
              <w:t>位于福州倍丰实业有限公司厂区内北侧，福州倍丰实业有限公司整体地势较高，本项目虽位于土地产权证的地下室中，但较于厂区东侧外道路实为地面一层。</w:t>
            </w:r>
          </w:p>
          <w:p w14:paraId="3C5EC956">
            <w:pPr>
              <w:keepNext w:val="0"/>
              <w:keepLines w:val="0"/>
              <w:pageBreakBefore w:val="0"/>
              <w:kinsoku/>
              <w:wordWrap/>
              <w:overflowPunct/>
              <w:topLinePunct w:val="0"/>
              <w:autoSpaceDE/>
              <w:autoSpaceDN/>
              <w:bidi w:val="0"/>
              <w:adjustRightInd/>
              <w:spacing w:line="360" w:lineRule="auto"/>
              <w:ind w:firstLine="480" w:firstLineChars="200"/>
              <w:jc w:val="left"/>
              <w:textAlignment w:val="auto"/>
            </w:pPr>
            <w:r>
              <w:rPr>
                <w:rFonts w:hint="eastAsia"/>
              </w:rPr>
              <w:t>福州倍丰实业有限公司</w:t>
            </w:r>
            <w:r>
              <w:rPr>
                <w:rFonts w:ascii="宋体" w:hAnsi="宋体" w:cs="宋体"/>
              </w:rPr>
              <w:t>是一家以</w:t>
            </w:r>
            <w:r>
              <w:rPr>
                <w:rStyle w:val="33"/>
                <w:rFonts w:ascii="宋体" w:hAnsi="宋体" w:cs="宋体"/>
                <w:b w:val="0"/>
              </w:rPr>
              <w:t>家具制造</w:t>
            </w:r>
            <w:r>
              <w:rPr>
                <w:rFonts w:ascii="宋体" w:hAnsi="宋体" w:cs="宋体"/>
              </w:rPr>
              <w:t>为主企业</w:t>
            </w:r>
            <w:r>
              <w:rPr>
                <w:rFonts w:hint="eastAsia" w:ascii="宋体" w:hAnsi="宋体" w:cs="宋体"/>
              </w:rPr>
              <w:t>，</w:t>
            </w:r>
            <w:r>
              <w:rPr>
                <w:rFonts w:ascii="宋体" w:hAnsi="宋体" w:cs="宋体"/>
              </w:rPr>
              <w:t>经营范围涵盖</w:t>
            </w:r>
            <w:r>
              <w:rPr>
                <w:rStyle w:val="33"/>
                <w:rFonts w:ascii="宋体" w:hAnsi="宋体" w:cs="宋体"/>
                <w:b w:val="0"/>
              </w:rPr>
              <w:t>家具制造与销售、家具零配件生产、工艺美术品制造、家居用品制造</w:t>
            </w:r>
            <w:r>
              <w:rPr>
                <w:rFonts w:ascii="宋体" w:hAnsi="宋体" w:cs="宋体"/>
              </w:rPr>
              <w:t>等</w:t>
            </w:r>
            <w:r>
              <w:rPr>
                <w:rFonts w:hint="eastAsia"/>
              </w:rPr>
              <w:t>。项目西侧80m为闽侯县业新家居制造有限公司，南侧200m为福州常春藤家居制造有限公司，东北侧70m为十字村，东侧25m为陈店湖水库，</w:t>
            </w:r>
            <w:r>
              <w:rPr>
                <w:rFonts w:hint="eastAsia"/>
                <w:lang w:val="en-US" w:eastAsia="zh-CN"/>
              </w:rPr>
              <w:t>属于小型拦水坝水库，</w:t>
            </w:r>
            <w:r>
              <w:rPr>
                <w:rFonts w:hint="eastAsia"/>
              </w:rPr>
              <w:t>详见附图2。</w:t>
            </w:r>
          </w:p>
          <w:p w14:paraId="164C751F">
            <w:pPr>
              <w:keepNext w:val="0"/>
              <w:keepLines w:val="0"/>
              <w:pageBreakBefore w:val="0"/>
              <w:kinsoku/>
              <w:wordWrap/>
              <w:overflowPunct/>
              <w:topLinePunct w:val="0"/>
              <w:autoSpaceDE/>
              <w:autoSpaceDN/>
              <w:bidi w:val="0"/>
              <w:adjustRightInd/>
              <w:snapToGrid w:val="0"/>
              <w:spacing w:line="360" w:lineRule="auto"/>
              <w:ind w:firstLine="480" w:firstLineChars="200"/>
              <w:jc w:val="left"/>
              <w:textAlignment w:val="auto"/>
              <w:rPr>
                <w:highlight w:val="none"/>
              </w:rPr>
            </w:pPr>
            <w:r>
              <w:rPr>
                <w:rFonts w:hint="eastAsia"/>
              </w:rPr>
              <w:t>周边无</w:t>
            </w:r>
            <w:r>
              <w:t>生活饮用水水源保护区</w:t>
            </w:r>
            <w:r>
              <w:rPr>
                <w:rFonts w:hint="eastAsia"/>
              </w:rPr>
              <w:t>、</w:t>
            </w:r>
            <w:r>
              <w:t>无重大文物古迹、无国家重点保护的</w:t>
            </w:r>
            <w:r>
              <w:rPr>
                <w:rFonts w:hint="eastAsia"/>
              </w:rPr>
              <w:t>珍稀动物</w:t>
            </w:r>
            <w:r>
              <w:t>和濒危植物。项目</w:t>
            </w:r>
            <w:r>
              <w:rPr>
                <w:rFonts w:hint="eastAsia"/>
              </w:rPr>
              <w:t>从事干粉砂浆拌合生产，不涉及生产用水，生活污水经化粪池处理后经市政污水管网排放至闽侯县城关污水处理厂。生产废气主要来源于</w:t>
            </w:r>
            <w:r>
              <w:rPr>
                <w:kern w:val="0"/>
                <w:lang w:bidi="ar"/>
              </w:rPr>
              <w:t>投料、混合搅拌及成品</w:t>
            </w:r>
            <w:r>
              <w:rPr>
                <w:rFonts w:hint="eastAsia"/>
                <w:kern w:val="0"/>
                <w:lang w:bidi="ar"/>
              </w:rPr>
              <w:t>出料</w:t>
            </w:r>
            <w:r>
              <w:rPr>
                <w:kern w:val="0"/>
                <w:lang w:bidi="ar"/>
              </w:rPr>
              <w:t>打包产生的粉</w:t>
            </w:r>
            <w:r>
              <w:rPr>
                <w:kern w:val="0"/>
                <w:highlight w:val="none"/>
                <w:lang w:bidi="ar"/>
              </w:rPr>
              <w:t>尘</w:t>
            </w:r>
            <w:r>
              <w:rPr>
                <w:rFonts w:hint="eastAsia"/>
                <w:highlight w:val="none"/>
              </w:rPr>
              <w:t>，</w:t>
            </w:r>
            <w:r>
              <w:rPr>
                <w:kern w:val="0"/>
                <w:highlight w:val="none"/>
                <w:lang w:bidi="ar"/>
              </w:rPr>
              <w:t>经</w:t>
            </w:r>
            <w:r>
              <w:rPr>
                <w:rFonts w:hint="eastAsia"/>
                <w:kern w:val="0"/>
                <w:highlight w:val="none"/>
                <w:lang w:bidi="ar"/>
              </w:rPr>
              <w:t>半封闭式围挡+集气罩+脉冲</w:t>
            </w:r>
            <w:r>
              <w:rPr>
                <w:kern w:val="0"/>
                <w:highlight w:val="none"/>
                <w:lang w:bidi="ar"/>
              </w:rPr>
              <w:t>布袋除尘器治理达</w:t>
            </w:r>
            <w:r>
              <w:rPr>
                <w:rFonts w:hint="eastAsia"/>
                <w:highlight w:val="none"/>
              </w:rPr>
              <w:t>《水泥工业大气污染物排放标准》（GB4915-2013）表2大气污染物特别排放限值要求（排放浓度≤10mg/m</w:t>
            </w:r>
            <w:r>
              <w:rPr>
                <w:rFonts w:hint="eastAsia"/>
                <w:highlight w:val="none"/>
                <w:vertAlign w:val="superscript"/>
              </w:rPr>
              <w:t>3</w:t>
            </w:r>
            <w:r>
              <w:rPr>
                <w:rFonts w:hint="eastAsia"/>
                <w:highlight w:val="none"/>
              </w:rPr>
              <w:t>）</w:t>
            </w:r>
            <w:r>
              <w:rPr>
                <w:rFonts w:hint="eastAsia"/>
                <w:kern w:val="0"/>
                <w:highlight w:val="none"/>
                <w:lang w:bidi="ar"/>
              </w:rPr>
              <w:t>后</w:t>
            </w:r>
            <w:r>
              <w:rPr>
                <w:kern w:val="0"/>
                <w:highlight w:val="none"/>
                <w:lang w:bidi="ar"/>
              </w:rPr>
              <w:t>引至1根</w:t>
            </w:r>
            <w:r>
              <w:rPr>
                <w:rFonts w:hint="eastAsia"/>
                <w:kern w:val="0"/>
                <w:highlight w:val="none"/>
                <w:lang w:val="en-US" w:eastAsia="zh-CN" w:bidi="ar"/>
              </w:rPr>
              <w:t>3</w:t>
            </w:r>
            <w:r>
              <w:rPr>
                <w:rFonts w:hint="eastAsia"/>
                <w:kern w:val="0"/>
                <w:highlight w:val="none"/>
                <w:lang w:bidi="ar"/>
              </w:rPr>
              <w:t>0m高</w:t>
            </w:r>
            <w:r>
              <w:rPr>
                <w:kern w:val="0"/>
                <w:highlight w:val="none"/>
                <w:lang w:bidi="ar"/>
              </w:rPr>
              <w:t>排气</w:t>
            </w:r>
            <w:r>
              <w:rPr>
                <w:rFonts w:hint="eastAsia"/>
                <w:kern w:val="0"/>
                <w:highlight w:val="none"/>
                <w:lang w:bidi="ar"/>
              </w:rPr>
              <w:t>筒</w:t>
            </w:r>
            <w:r>
              <w:rPr>
                <w:kern w:val="0"/>
                <w:highlight w:val="none"/>
                <w:lang w:bidi="ar"/>
              </w:rPr>
              <w:t>排放</w:t>
            </w:r>
            <w:r>
              <w:rPr>
                <w:rFonts w:hint="eastAsia"/>
                <w:kern w:val="0"/>
                <w:highlight w:val="none"/>
                <w:lang w:bidi="ar"/>
              </w:rPr>
              <w:t>（</w:t>
            </w:r>
            <w:r>
              <w:rPr>
                <w:kern w:val="0"/>
                <w:highlight w:val="none"/>
                <w:lang w:bidi="ar"/>
              </w:rPr>
              <w:t>DA001</w:t>
            </w:r>
            <w:r>
              <w:rPr>
                <w:rFonts w:hint="eastAsia"/>
                <w:kern w:val="0"/>
                <w:highlight w:val="none"/>
                <w:lang w:bidi="ar"/>
              </w:rPr>
              <w:t>）</w:t>
            </w:r>
            <w:r>
              <w:rPr>
                <w:highlight w:val="none"/>
              </w:rPr>
              <w:t>。</w:t>
            </w:r>
          </w:p>
          <w:p w14:paraId="58943841">
            <w:pPr>
              <w:keepNext w:val="0"/>
              <w:keepLines w:val="0"/>
              <w:pageBreakBefore w:val="0"/>
              <w:widowControl/>
              <w:kinsoku/>
              <w:wordWrap/>
              <w:overflowPunct/>
              <w:topLinePunct w:val="0"/>
              <w:autoSpaceDE/>
              <w:autoSpaceDN/>
              <w:bidi w:val="0"/>
              <w:adjustRightInd/>
              <w:spacing w:line="360" w:lineRule="auto"/>
              <w:ind w:firstLine="480" w:firstLineChars="200"/>
              <w:jc w:val="left"/>
              <w:textAlignment w:val="auto"/>
              <w:rPr>
                <w:b/>
                <w:bCs/>
                <w:kern w:val="0"/>
                <w:sz w:val="28"/>
                <w:szCs w:val="28"/>
                <w:lang w:bidi="ar"/>
              </w:rPr>
            </w:pPr>
            <w:r>
              <w:rPr>
                <w:snapToGrid w:val="0"/>
                <w:color w:val="000000"/>
              </w:rPr>
              <w:t>项目在生产过</w:t>
            </w:r>
            <w:r>
              <w:rPr>
                <w:rFonts w:hint="eastAsia"/>
                <w:snapToGrid w:val="0"/>
                <w:color w:val="000000"/>
              </w:rPr>
              <w:t>程中</w:t>
            </w:r>
            <w:r>
              <w:rPr>
                <w:snapToGrid w:val="0"/>
                <w:color w:val="000000"/>
              </w:rPr>
              <w:t>产生的污染物经处理后可实现达标排放，对环境影响较小，项目与周围环境是相容且相互适应的。建设单位在确实落实本评价提出的各项污染治理措施的前提下，可实现污染物达标排放，且各污染物排放源强较低，运营期产生的</w:t>
            </w:r>
            <w:r>
              <w:rPr>
                <w:rFonts w:hint="eastAsia"/>
                <w:snapToGrid w:val="0"/>
                <w:color w:val="000000"/>
              </w:rPr>
              <w:t>“</w:t>
            </w:r>
            <w:r>
              <w:rPr>
                <w:snapToGrid w:val="0"/>
                <w:color w:val="000000"/>
              </w:rPr>
              <w:t>三废</w:t>
            </w:r>
            <w:r>
              <w:rPr>
                <w:rFonts w:hint="eastAsia"/>
                <w:snapToGrid w:val="0"/>
                <w:color w:val="000000"/>
              </w:rPr>
              <w:t>”</w:t>
            </w:r>
            <w:r>
              <w:rPr>
                <w:snapToGrid w:val="0"/>
                <w:color w:val="000000"/>
              </w:rPr>
              <w:t>及噪声对周边环境影响不明显，因此，项目建设与周边环境基本相容。</w:t>
            </w:r>
          </w:p>
          <w:p w14:paraId="35042A3E">
            <w:pPr>
              <w:widowControl/>
              <w:ind w:firstLine="0" w:firstLineChars="0"/>
              <w:jc w:val="left"/>
              <w:rPr>
                <w:b/>
                <w:bCs/>
                <w:kern w:val="0"/>
                <w:sz w:val="28"/>
                <w:szCs w:val="28"/>
                <w:lang w:bidi="ar"/>
              </w:rPr>
            </w:pPr>
            <w:r>
              <w:rPr>
                <w:rFonts w:hint="eastAsia"/>
                <w:b/>
                <w:bCs/>
                <w:kern w:val="0"/>
                <w:sz w:val="28"/>
                <w:szCs w:val="28"/>
                <w:lang w:bidi="ar"/>
              </w:rPr>
              <w:t>1.6 生态环境分区管控要求的符合性分析</w:t>
            </w:r>
          </w:p>
          <w:p w14:paraId="6FE8CC6D">
            <w:pPr>
              <w:pStyle w:val="139"/>
              <w:rPr>
                <w:rFonts w:hint="eastAsia"/>
                <w:color w:val="auto"/>
              </w:rPr>
            </w:pPr>
            <w:r>
              <w:rPr>
                <w:rFonts w:hint="eastAsia"/>
                <w:color w:val="auto"/>
              </w:rPr>
              <w:t>根据《福州市生态环境局关于发布福州市2024年生态环境分区管控动态更新成果的通知》（榕环保综〔2025〕1号），项目所在区域为</w:t>
            </w:r>
            <w:r>
              <w:rPr>
                <w:rFonts w:hint="eastAsia"/>
                <w:highlight w:val="none"/>
              </w:rPr>
              <w:t>闽侯县重点管控单元3（单</w:t>
            </w:r>
            <w:r>
              <w:rPr>
                <w:rFonts w:hint="eastAsia"/>
              </w:rPr>
              <w:t>元编号：ZH35012120005）</w:t>
            </w:r>
            <w:r>
              <w:rPr>
                <w:rFonts w:hint="eastAsia"/>
                <w:color w:val="auto"/>
              </w:rPr>
              <w:t>（详见附件</w:t>
            </w:r>
            <w:r>
              <w:rPr>
                <w:rFonts w:hint="eastAsia"/>
                <w:color w:val="auto"/>
                <w:lang w:val="en-US" w:eastAsia="zh-CN"/>
              </w:rPr>
              <w:t>14</w:t>
            </w:r>
            <w:r>
              <w:rPr>
                <w:rFonts w:hint="eastAsia"/>
                <w:color w:val="auto"/>
              </w:rPr>
              <w:t>）。符合性分析具体见下表1.</w:t>
            </w:r>
            <w:r>
              <w:rPr>
                <w:rFonts w:hint="eastAsia"/>
                <w:color w:val="auto"/>
                <w:lang w:val="en-US" w:eastAsia="zh-CN"/>
              </w:rPr>
              <w:t>6</w:t>
            </w:r>
            <w:r>
              <w:rPr>
                <w:rFonts w:hint="eastAsia"/>
                <w:color w:val="auto"/>
              </w:rPr>
              <w:t>-1以及1.</w:t>
            </w:r>
            <w:r>
              <w:rPr>
                <w:rFonts w:hint="eastAsia"/>
                <w:color w:val="auto"/>
                <w:lang w:val="en-US" w:eastAsia="zh-CN"/>
              </w:rPr>
              <w:t>6</w:t>
            </w:r>
            <w:r>
              <w:rPr>
                <w:rFonts w:hint="eastAsia"/>
                <w:color w:val="auto"/>
              </w:rPr>
              <w:t>-2。</w:t>
            </w:r>
          </w:p>
          <w:p w14:paraId="1E9B6D9F">
            <w:pPr>
              <w:widowControl/>
              <w:ind w:firstLine="480"/>
              <w:jc w:val="left"/>
            </w:pPr>
          </w:p>
          <w:p w14:paraId="6C117D20">
            <w:pPr>
              <w:widowControl/>
              <w:ind w:firstLine="480"/>
              <w:jc w:val="left"/>
            </w:pPr>
          </w:p>
        </w:tc>
      </w:tr>
    </w:tbl>
    <w:p w14:paraId="0EBCB886">
      <w:pPr>
        <w:ind w:firstLine="600"/>
        <w:rPr>
          <w:rFonts w:eastAsia="黑体"/>
          <w:sz w:val="30"/>
        </w:rPr>
        <w:sectPr>
          <w:footerReference r:id="rId12" w:type="default"/>
          <w:pgSz w:w="11906" w:h="16838"/>
          <w:pgMar w:top="1701" w:right="1531" w:bottom="1701" w:left="1531" w:header="851" w:footer="1077" w:gutter="0"/>
          <w:pgNumType w:start="1"/>
          <w:cols w:space="720" w:num="1"/>
          <w:docGrid w:linePitch="312" w:charSpace="0"/>
        </w:sectPr>
      </w:pP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
        <w:gridCol w:w="13412"/>
      </w:tblGrid>
      <w:tr w14:paraId="693A7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4" w:hRule="atLeast"/>
        </w:trPr>
        <w:tc>
          <w:tcPr>
            <w:tcW w:w="240" w:type="dxa"/>
          </w:tcPr>
          <w:p w14:paraId="4ADFE5D6">
            <w:pPr>
              <w:widowControl/>
              <w:spacing w:before="100" w:beforeAutospacing="1" w:after="100" w:afterAutospacing="1"/>
              <w:ind w:firstLine="600"/>
              <w:outlineLvl w:val="0"/>
              <w:rPr>
                <w:snapToGrid w:val="0"/>
                <w:color w:val="000000"/>
                <w:kern w:val="0"/>
                <w:sz w:val="30"/>
                <w:szCs w:val="30"/>
              </w:rPr>
            </w:pPr>
          </w:p>
        </w:tc>
        <w:tc>
          <w:tcPr>
            <w:tcW w:w="13412" w:type="dxa"/>
          </w:tcPr>
          <w:p w14:paraId="194CD5F4">
            <w:pPr>
              <w:pStyle w:val="146"/>
              <w:spacing w:before="0" w:beforeLines="0"/>
            </w:pPr>
            <w:r>
              <w:t>表1</w:t>
            </w:r>
            <w:r>
              <w:rPr>
                <w:rFonts w:hint="eastAsia"/>
              </w:rPr>
              <w:t>.6</w:t>
            </w:r>
            <w:r>
              <w:t>-</w:t>
            </w:r>
            <w:r>
              <w:rPr>
                <w:rFonts w:hint="eastAsia"/>
              </w:rPr>
              <w:t>1</w:t>
            </w:r>
            <w:r>
              <w:t xml:space="preserve"> 与全市总体准入要求的符合性分析</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573"/>
              <w:gridCol w:w="815"/>
              <w:gridCol w:w="8864"/>
              <w:gridCol w:w="2343"/>
              <w:gridCol w:w="596"/>
            </w:tblGrid>
            <w:tr w14:paraId="48FBDB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217" w:type="pct"/>
                  <w:vAlign w:val="center"/>
                </w:tcPr>
                <w:p w14:paraId="1E4AE5AC">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b/>
                      <w:bCs/>
                      <w:color w:val="000000"/>
                      <w:sz w:val="21"/>
                      <w:szCs w:val="21"/>
                    </w:rPr>
                  </w:pPr>
                  <w:r>
                    <w:rPr>
                      <w:b/>
                      <w:bCs/>
                      <w:color w:val="000000"/>
                      <w:sz w:val="21"/>
                      <w:szCs w:val="21"/>
                    </w:rPr>
                    <w:t>适用范围</w:t>
                  </w:r>
                </w:p>
              </w:tc>
              <w:tc>
                <w:tcPr>
                  <w:tcW w:w="3669" w:type="pct"/>
                  <w:gridSpan w:val="2"/>
                  <w:vAlign w:val="center"/>
                </w:tcPr>
                <w:p w14:paraId="14AFA172">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b/>
                      <w:bCs/>
                      <w:color w:val="000000"/>
                      <w:sz w:val="21"/>
                      <w:szCs w:val="21"/>
                    </w:rPr>
                  </w:pPr>
                  <w:r>
                    <w:rPr>
                      <w:b/>
                      <w:bCs/>
                      <w:color w:val="000000"/>
                      <w:sz w:val="21"/>
                      <w:szCs w:val="21"/>
                    </w:rPr>
                    <w:t>准入要求</w:t>
                  </w:r>
                </w:p>
              </w:tc>
              <w:tc>
                <w:tcPr>
                  <w:tcW w:w="888" w:type="pct"/>
                  <w:vAlign w:val="center"/>
                </w:tcPr>
                <w:p w14:paraId="35BA083D">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b/>
                      <w:bCs/>
                      <w:color w:val="000000"/>
                      <w:sz w:val="21"/>
                      <w:szCs w:val="21"/>
                    </w:rPr>
                  </w:pPr>
                  <w:r>
                    <w:rPr>
                      <w:b/>
                      <w:bCs/>
                      <w:color w:val="000000"/>
                      <w:sz w:val="21"/>
                      <w:szCs w:val="21"/>
                    </w:rPr>
                    <w:t>本项目情况</w:t>
                  </w:r>
                </w:p>
              </w:tc>
              <w:tc>
                <w:tcPr>
                  <w:tcW w:w="223" w:type="pct"/>
                  <w:vAlign w:val="center"/>
                </w:tcPr>
                <w:p w14:paraId="7CD71DED">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b/>
                      <w:bCs/>
                      <w:color w:val="000000"/>
                      <w:sz w:val="21"/>
                      <w:szCs w:val="21"/>
                    </w:rPr>
                  </w:pPr>
                  <w:r>
                    <w:rPr>
                      <w:b/>
                      <w:bCs/>
                      <w:color w:val="000000"/>
                      <w:sz w:val="21"/>
                      <w:szCs w:val="21"/>
                    </w:rPr>
                    <w:t>符合性</w:t>
                  </w:r>
                </w:p>
              </w:tc>
            </w:tr>
            <w:tr w14:paraId="692F44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217" w:type="pct"/>
                  <w:vMerge w:val="restart"/>
                  <w:vAlign w:val="center"/>
                </w:tcPr>
                <w:p w14:paraId="6C7A1D17">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r>
                    <w:rPr>
                      <w:color w:val="000000"/>
                      <w:sz w:val="21"/>
                      <w:szCs w:val="21"/>
                    </w:rPr>
                    <w:t>福州市陆域</w:t>
                  </w:r>
                </w:p>
              </w:tc>
              <w:tc>
                <w:tcPr>
                  <w:tcW w:w="309" w:type="pct"/>
                  <w:vMerge w:val="restart"/>
                  <w:vAlign w:val="center"/>
                </w:tcPr>
                <w:p w14:paraId="39077F06">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r>
                    <w:rPr>
                      <w:color w:val="000000"/>
                      <w:sz w:val="21"/>
                      <w:szCs w:val="21"/>
                    </w:rPr>
                    <w:t>空间布局约束</w:t>
                  </w:r>
                </w:p>
              </w:tc>
              <w:tc>
                <w:tcPr>
                  <w:tcW w:w="3360" w:type="pct"/>
                  <w:vAlign w:val="center"/>
                </w:tcPr>
                <w:p w14:paraId="70C81618">
                  <w:pPr>
                    <w:numPr>
                      <w:ilvl w:val="0"/>
                      <w:numId w:val="1"/>
                    </w:numPr>
                    <w:adjustRightInd w:val="0"/>
                    <w:snapToGrid w:val="0"/>
                    <w:spacing w:line="340" w:lineRule="exact"/>
                    <w:ind w:firstLine="0" w:firstLineChars="0"/>
                    <w:rPr>
                      <w:b/>
                      <w:bCs/>
                      <w:color w:val="000000"/>
                      <w:sz w:val="21"/>
                      <w:szCs w:val="21"/>
                    </w:rPr>
                  </w:pPr>
                  <w:r>
                    <w:rPr>
                      <w:b/>
                      <w:bCs/>
                      <w:color w:val="000000"/>
                      <w:sz w:val="21"/>
                      <w:szCs w:val="21"/>
                    </w:rPr>
                    <w:t>优先保护单元中的生态保护红线</w:t>
                  </w:r>
                </w:p>
                <w:p w14:paraId="483EEC84">
                  <w:pPr>
                    <w:widowControl/>
                    <w:snapToGrid w:val="0"/>
                    <w:spacing w:line="340" w:lineRule="exact"/>
                    <w:ind w:firstLine="0" w:firstLineChars="0"/>
                    <w:rPr>
                      <w:color w:val="000000"/>
                      <w:kern w:val="0"/>
                      <w:sz w:val="21"/>
                      <w:szCs w:val="21"/>
                    </w:rPr>
                  </w:pPr>
                  <w:r>
                    <w:rPr>
                      <w:color w:val="000000"/>
                      <w:kern w:val="0"/>
                      <w:sz w:val="21"/>
                      <w:szCs w:val="21"/>
                    </w:rPr>
                    <w:t>1.根据《关于在国土空间规划中统筹划定落实三条控制线的指导意见》《自然资源部生态环境部国家林业和草原局关于加强生态保护红线管理的通知（试行）》，加强生态保护红线管理，严守自然生态安全边界。生态保护红线内，自然保护地核心保护区原则上禁止人为活动，其它区域禁止开发性、生产性建设活动，在符合法律法规的前提下，仅允许以下对生态功能不造成破坏的有限人为活动。生态保护红线内自然保护区、风景名胜区、饮用水水源保护区等区域，依照法律法规执行。</w:t>
                  </w:r>
                </w:p>
                <w:p w14:paraId="0B1645BE">
                  <w:pPr>
                    <w:widowControl/>
                    <w:numPr>
                      <w:ilvl w:val="0"/>
                      <w:numId w:val="2"/>
                    </w:numPr>
                    <w:snapToGrid w:val="0"/>
                    <w:spacing w:line="340" w:lineRule="exact"/>
                    <w:ind w:firstLine="0" w:firstLineChars="0"/>
                    <w:rPr>
                      <w:color w:val="000000"/>
                      <w:kern w:val="0"/>
                      <w:sz w:val="21"/>
                      <w:szCs w:val="21"/>
                    </w:rPr>
                  </w:pPr>
                  <w:r>
                    <w:rPr>
                      <w:color w:val="000000"/>
                      <w:kern w:val="0"/>
                      <w:sz w:val="21"/>
                      <w:szCs w:val="21"/>
                    </w:rPr>
                    <w:t>管护巡护、保护执法、科学研究、调查监测、测绘导航、防灾减灾救灾、军事国防、疫情防控等活动及相关的必要设施修筑。</w:t>
                  </w:r>
                </w:p>
                <w:p w14:paraId="39A299FD">
                  <w:pPr>
                    <w:widowControl/>
                    <w:numPr>
                      <w:ilvl w:val="0"/>
                      <w:numId w:val="2"/>
                    </w:numPr>
                    <w:snapToGrid w:val="0"/>
                    <w:spacing w:line="340" w:lineRule="exact"/>
                    <w:ind w:firstLine="0" w:firstLineChars="0"/>
                    <w:rPr>
                      <w:color w:val="000000"/>
                      <w:kern w:val="0"/>
                      <w:sz w:val="21"/>
                      <w:szCs w:val="21"/>
                    </w:rPr>
                  </w:pPr>
                  <w:r>
                    <w:rPr>
                      <w:color w:val="000000"/>
                      <w:kern w:val="0"/>
                      <w:sz w:val="21"/>
                      <w:szCs w:val="21"/>
                    </w:rPr>
                    <w:t>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14:paraId="6A97ED2F">
                  <w:pPr>
                    <w:widowControl/>
                    <w:numPr>
                      <w:ilvl w:val="0"/>
                      <w:numId w:val="2"/>
                    </w:numPr>
                    <w:snapToGrid w:val="0"/>
                    <w:spacing w:line="340" w:lineRule="exact"/>
                    <w:ind w:firstLine="0" w:firstLineChars="0"/>
                    <w:rPr>
                      <w:color w:val="000000"/>
                      <w:kern w:val="0"/>
                      <w:sz w:val="21"/>
                      <w:szCs w:val="21"/>
                    </w:rPr>
                  </w:pPr>
                  <w:r>
                    <w:rPr>
                      <w:color w:val="000000"/>
                      <w:kern w:val="0"/>
                      <w:sz w:val="21"/>
                      <w:szCs w:val="21"/>
                    </w:rPr>
                    <w:t>经依法批准的考古调查发掘、古生物化石调查发掘、标本采集和文物保护活动。</w:t>
                  </w:r>
                </w:p>
                <w:p w14:paraId="11F8EA55">
                  <w:pPr>
                    <w:widowControl/>
                    <w:numPr>
                      <w:ilvl w:val="0"/>
                      <w:numId w:val="2"/>
                    </w:numPr>
                    <w:snapToGrid w:val="0"/>
                    <w:spacing w:line="340" w:lineRule="exact"/>
                    <w:ind w:firstLine="0" w:firstLineChars="0"/>
                    <w:rPr>
                      <w:color w:val="000000"/>
                      <w:kern w:val="0"/>
                      <w:sz w:val="21"/>
                      <w:szCs w:val="21"/>
                    </w:rPr>
                  </w:pPr>
                  <w:r>
                    <w:rPr>
                      <w:color w:val="000000"/>
                      <w:kern w:val="0"/>
                      <w:sz w:val="21"/>
                      <w:szCs w:val="21"/>
                    </w:rPr>
                    <w:t>按规定对人工商品林进行抚育采伐，或以提升森林质量、优化栖息地、建设生物防火隔离带等为目的的树种更新，依法开展的竹林采伐经营。</w:t>
                  </w:r>
                </w:p>
                <w:p w14:paraId="63736B26">
                  <w:pPr>
                    <w:widowControl/>
                    <w:numPr>
                      <w:ilvl w:val="0"/>
                      <w:numId w:val="2"/>
                    </w:numPr>
                    <w:snapToGrid w:val="0"/>
                    <w:spacing w:line="340" w:lineRule="exact"/>
                    <w:ind w:firstLine="0" w:firstLineChars="0"/>
                    <w:rPr>
                      <w:color w:val="000000"/>
                      <w:kern w:val="0"/>
                      <w:sz w:val="21"/>
                      <w:szCs w:val="21"/>
                    </w:rPr>
                  </w:pPr>
                  <w:r>
                    <w:rPr>
                      <w:color w:val="000000"/>
                      <w:kern w:val="0"/>
                      <w:sz w:val="21"/>
                      <w:szCs w:val="21"/>
                    </w:rPr>
                    <w:t>不破坏生态功能的适度参观旅游、科普宣教及符合相关规划的配套性服务设施和相关的必要公共设施建设及维护。</w:t>
                  </w:r>
                </w:p>
                <w:p w14:paraId="2D840798">
                  <w:pPr>
                    <w:widowControl/>
                    <w:numPr>
                      <w:ilvl w:val="0"/>
                      <w:numId w:val="2"/>
                    </w:numPr>
                    <w:snapToGrid w:val="0"/>
                    <w:spacing w:line="340" w:lineRule="exact"/>
                    <w:ind w:firstLine="0" w:firstLineChars="0"/>
                    <w:rPr>
                      <w:color w:val="000000"/>
                      <w:kern w:val="0"/>
                      <w:sz w:val="21"/>
                      <w:szCs w:val="21"/>
                    </w:rPr>
                  </w:pPr>
                  <w:r>
                    <w:rPr>
                      <w:color w:val="000000"/>
                      <w:kern w:val="0"/>
                      <w:sz w:val="21"/>
                      <w:szCs w:val="21"/>
                    </w:rPr>
                    <w:t>必须且无法避让、符合县级以上国土空间规划的线性基础设施、通讯和防洪、供水设施建设和船舶航行、航道疏浚清淤等活动；已有的合法水利、交通运输等设施运行维护改造。</w:t>
                  </w:r>
                </w:p>
                <w:p w14:paraId="2690E71F">
                  <w:pPr>
                    <w:widowControl/>
                    <w:numPr>
                      <w:ilvl w:val="0"/>
                      <w:numId w:val="2"/>
                    </w:numPr>
                    <w:snapToGrid w:val="0"/>
                    <w:spacing w:line="340" w:lineRule="exact"/>
                    <w:ind w:firstLine="0" w:firstLineChars="0"/>
                    <w:rPr>
                      <w:color w:val="000000"/>
                      <w:kern w:val="0"/>
                      <w:sz w:val="21"/>
                      <w:szCs w:val="21"/>
                    </w:rPr>
                  </w:pPr>
                  <w:r>
                    <w:rPr>
                      <w:color w:val="000000"/>
                      <w:kern w:val="0"/>
                      <w:sz w:val="21"/>
                      <w:szCs w:val="21"/>
                    </w:rPr>
                    <w:t>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p>
                <w:p w14:paraId="324BB42F">
                  <w:pPr>
                    <w:widowControl/>
                    <w:numPr>
                      <w:ilvl w:val="0"/>
                      <w:numId w:val="2"/>
                    </w:numPr>
                    <w:snapToGrid w:val="0"/>
                    <w:spacing w:line="340" w:lineRule="exact"/>
                    <w:ind w:firstLine="0" w:firstLineChars="0"/>
                    <w:rPr>
                      <w:color w:val="000000"/>
                      <w:kern w:val="0"/>
                      <w:sz w:val="21"/>
                      <w:szCs w:val="21"/>
                    </w:rPr>
                  </w:pPr>
                  <w:r>
                    <w:rPr>
                      <w:color w:val="000000"/>
                      <w:kern w:val="0"/>
                      <w:sz w:val="21"/>
                      <w:szCs w:val="21"/>
                    </w:rPr>
                    <w:t>依据县级以上国土空间规划和生态保护修复专项规划开展的生态修复。</w:t>
                  </w:r>
                </w:p>
                <w:p w14:paraId="27A64BB4">
                  <w:pPr>
                    <w:widowControl/>
                    <w:snapToGrid w:val="0"/>
                    <w:spacing w:line="340" w:lineRule="exact"/>
                    <w:ind w:firstLine="0" w:firstLineChars="0"/>
                    <w:rPr>
                      <w:color w:val="000000"/>
                      <w:kern w:val="0"/>
                      <w:sz w:val="21"/>
                      <w:szCs w:val="21"/>
                    </w:rPr>
                  </w:pPr>
                  <w:r>
                    <w:rPr>
                      <w:color w:val="000000"/>
                      <w:kern w:val="0"/>
                      <w:sz w:val="21"/>
                      <w:szCs w:val="21"/>
                    </w:rPr>
                    <w:t>（9）法律法规规定允许的其他人为活动。</w:t>
                  </w:r>
                </w:p>
                <w:p w14:paraId="2C04F8B5">
                  <w:pPr>
                    <w:widowControl/>
                    <w:snapToGrid w:val="0"/>
                    <w:spacing w:line="340" w:lineRule="exact"/>
                    <w:ind w:firstLine="0" w:firstLineChars="0"/>
                    <w:rPr>
                      <w:color w:val="000000"/>
                      <w:kern w:val="0"/>
                      <w:sz w:val="21"/>
                      <w:szCs w:val="21"/>
                    </w:rPr>
                  </w:pPr>
                  <w:r>
                    <w:rPr>
                      <w:color w:val="000000"/>
                      <w:kern w:val="0"/>
                      <w:sz w:val="21"/>
                      <w:szCs w:val="21"/>
                    </w:rPr>
                    <w:t>2.依据《福建省自然资源厅福建省生态环境厅福建省林业局关于进一步加强生态保护红线监管的通知（试行）》（闽自然资发〔2023〕56号），允许占用生态保护红线的重大项目范围：</w:t>
                  </w:r>
                </w:p>
                <w:p w14:paraId="6673506C">
                  <w:pPr>
                    <w:widowControl/>
                    <w:snapToGrid w:val="0"/>
                    <w:spacing w:line="340" w:lineRule="exact"/>
                    <w:ind w:firstLine="0" w:firstLineChars="0"/>
                    <w:rPr>
                      <w:color w:val="000000"/>
                      <w:kern w:val="0"/>
                      <w:sz w:val="21"/>
                      <w:szCs w:val="21"/>
                    </w:rPr>
                  </w:pPr>
                  <w:r>
                    <w:rPr>
                      <w:color w:val="000000"/>
                      <w:kern w:val="0"/>
                      <w:sz w:val="21"/>
                      <w:szCs w:val="21"/>
                    </w:rPr>
                    <w:t>（1）党中央、国务院发布文件或批准规划中明确具体名称的项目和国务院批准的项目。</w:t>
                  </w:r>
                </w:p>
                <w:p w14:paraId="0E5CD6B0">
                  <w:pPr>
                    <w:widowControl/>
                    <w:snapToGrid w:val="0"/>
                    <w:spacing w:line="340" w:lineRule="exact"/>
                    <w:ind w:firstLine="0" w:firstLineChars="0"/>
                    <w:rPr>
                      <w:color w:val="000000"/>
                      <w:kern w:val="0"/>
                      <w:sz w:val="21"/>
                      <w:szCs w:val="21"/>
                    </w:rPr>
                  </w:pPr>
                  <w:r>
                    <w:rPr>
                      <w:color w:val="000000"/>
                      <w:kern w:val="0"/>
                      <w:sz w:val="21"/>
                      <w:szCs w:val="21"/>
                    </w:rPr>
                    <w:t>（2）中央军委及其有关部门批准的军事国防项目。</w:t>
                  </w:r>
                </w:p>
                <w:p w14:paraId="1EB7A005">
                  <w:pPr>
                    <w:widowControl/>
                    <w:snapToGrid w:val="0"/>
                    <w:spacing w:line="340" w:lineRule="exact"/>
                    <w:ind w:firstLine="0" w:firstLineChars="0"/>
                    <w:rPr>
                      <w:color w:val="000000"/>
                      <w:kern w:val="0"/>
                      <w:sz w:val="21"/>
                      <w:szCs w:val="21"/>
                    </w:rPr>
                  </w:pPr>
                  <w:r>
                    <w:rPr>
                      <w:color w:val="000000"/>
                      <w:kern w:val="0"/>
                      <w:sz w:val="21"/>
                      <w:szCs w:val="21"/>
                    </w:rPr>
                    <w:t>（3）国家级规划（指国务院及其有关部门正式颁布）明确的交通、水利项目。</w:t>
                  </w:r>
                </w:p>
                <w:p w14:paraId="78DCBDFE">
                  <w:pPr>
                    <w:widowControl/>
                    <w:snapToGrid w:val="0"/>
                    <w:spacing w:line="340" w:lineRule="exact"/>
                    <w:ind w:firstLine="0" w:firstLineChars="0"/>
                    <w:rPr>
                      <w:color w:val="000000"/>
                      <w:kern w:val="0"/>
                      <w:sz w:val="21"/>
                      <w:szCs w:val="21"/>
                    </w:rPr>
                  </w:pPr>
                  <w:r>
                    <w:rPr>
                      <w:color w:val="000000"/>
                      <w:kern w:val="0"/>
                      <w:sz w:val="21"/>
                      <w:szCs w:val="21"/>
                    </w:rPr>
                    <w:t>（4）国家级规划明确的电网项目，国家级规划明确的且符合国家产业政策的能源矿产勘查开采、油气管线、水电、核电项目。</w:t>
                  </w:r>
                </w:p>
                <w:p w14:paraId="52A9F190">
                  <w:pPr>
                    <w:widowControl/>
                    <w:snapToGrid w:val="0"/>
                    <w:spacing w:line="340" w:lineRule="exact"/>
                    <w:ind w:firstLine="0" w:firstLineChars="0"/>
                    <w:rPr>
                      <w:color w:val="000000"/>
                      <w:kern w:val="0"/>
                      <w:sz w:val="21"/>
                      <w:szCs w:val="21"/>
                    </w:rPr>
                  </w:pPr>
                  <w:r>
                    <w:rPr>
                      <w:color w:val="000000"/>
                      <w:kern w:val="0"/>
                      <w:sz w:val="21"/>
                      <w:szCs w:val="21"/>
                    </w:rPr>
                    <w:t>（5）为贯彻落实党中央、国务院重大决策部署，国务院投资主管部门或国务院投资主管部门会同有关部门确认的交通、能源、水利等基础设施项目。</w:t>
                  </w:r>
                </w:p>
                <w:p w14:paraId="4FFAC615">
                  <w:pPr>
                    <w:widowControl/>
                    <w:snapToGrid w:val="0"/>
                    <w:spacing w:line="340" w:lineRule="exact"/>
                    <w:ind w:firstLine="0" w:firstLineChars="0"/>
                    <w:rPr>
                      <w:color w:val="000000"/>
                      <w:kern w:val="0"/>
                      <w:sz w:val="21"/>
                      <w:szCs w:val="21"/>
                    </w:rPr>
                  </w:pPr>
                  <w:r>
                    <w:rPr>
                      <w:color w:val="000000"/>
                      <w:kern w:val="0"/>
                      <w:sz w:val="21"/>
                      <w:szCs w:val="21"/>
                    </w:rPr>
                    <w:t>（6）按照国家重大项目用地保障工作机制要求，国家发展改革委会同有关部门确认的需中央加大建设用地保障力度，确实难以避让的国家重大项目。</w:t>
                  </w:r>
                </w:p>
              </w:tc>
              <w:tc>
                <w:tcPr>
                  <w:tcW w:w="888" w:type="pct"/>
                  <w:vAlign w:val="center"/>
                </w:tcPr>
                <w:p w14:paraId="2979E43A">
                  <w:pPr>
                    <w:widowControl/>
                    <w:snapToGrid w:val="0"/>
                    <w:spacing w:line="340" w:lineRule="exact"/>
                    <w:ind w:firstLine="0" w:firstLineChars="0"/>
                    <w:jc w:val="left"/>
                    <w:rPr>
                      <w:color w:val="000000"/>
                      <w:kern w:val="0"/>
                      <w:sz w:val="21"/>
                      <w:szCs w:val="21"/>
                    </w:rPr>
                  </w:pPr>
                  <w:r>
                    <w:rPr>
                      <w:color w:val="000000"/>
                      <w:kern w:val="0"/>
                      <w:sz w:val="21"/>
                      <w:szCs w:val="21"/>
                    </w:rPr>
                    <w:t>项目位于福建省福州市闽侯县甘蔗街道陈店湖路18号，不涉及生态保护红线。</w:t>
                  </w:r>
                </w:p>
              </w:tc>
              <w:tc>
                <w:tcPr>
                  <w:tcW w:w="223" w:type="pct"/>
                  <w:vAlign w:val="center"/>
                </w:tcPr>
                <w:p w14:paraId="3D80CA59">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r>
                    <w:rPr>
                      <w:color w:val="000000"/>
                      <w:sz w:val="21"/>
                      <w:szCs w:val="21"/>
                    </w:rPr>
                    <w:t>符合</w:t>
                  </w:r>
                </w:p>
              </w:tc>
            </w:tr>
            <w:tr w14:paraId="1FFCCF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2140" w:hRule="atLeast"/>
              </w:trPr>
              <w:tc>
                <w:tcPr>
                  <w:tcW w:w="217" w:type="pct"/>
                  <w:vMerge w:val="continue"/>
                  <w:vAlign w:val="center"/>
                </w:tcPr>
                <w:p w14:paraId="1F1BF814">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p>
              </w:tc>
              <w:tc>
                <w:tcPr>
                  <w:tcW w:w="309" w:type="pct"/>
                  <w:vMerge w:val="continue"/>
                  <w:vAlign w:val="center"/>
                </w:tcPr>
                <w:p w14:paraId="6DC710AA">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p>
              </w:tc>
              <w:tc>
                <w:tcPr>
                  <w:tcW w:w="3360" w:type="pct"/>
                  <w:vAlign w:val="center"/>
                </w:tcPr>
                <w:p w14:paraId="38020B44">
                  <w:pPr>
                    <w:widowControl/>
                    <w:snapToGrid w:val="0"/>
                    <w:spacing w:line="340" w:lineRule="exact"/>
                    <w:ind w:firstLine="0" w:firstLineChars="0"/>
                    <w:rPr>
                      <w:b/>
                      <w:bCs/>
                      <w:color w:val="000000"/>
                      <w:kern w:val="0"/>
                      <w:sz w:val="21"/>
                      <w:szCs w:val="21"/>
                    </w:rPr>
                  </w:pPr>
                  <w:r>
                    <w:rPr>
                      <w:b/>
                      <w:bCs/>
                      <w:color w:val="000000"/>
                      <w:kern w:val="0"/>
                      <w:sz w:val="21"/>
                      <w:szCs w:val="21"/>
                    </w:rPr>
                    <w:t>二、优先保护单元中的一般生态空间</w:t>
                  </w:r>
                </w:p>
                <w:p w14:paraId="24F9D4EB">
                  <w:pPr>
                    <w:widowControl/>
                    <w:snapToGrid w:val="0"/>
                    <w:spacing w:line="340" w:lineRule="exact"/>
                    <w:ind w:firstLine="0" w:firstLineChars="0"/>
                    <w:rPr>
                      <w:color w:val="000000"/>
                      <w:kern w:val="0"/>
                      <w:sz w:val="21"/>
                      <w:szCs w:val="21"/>
                    </w:rPr>
                  </w:pPr>
                  <w:r>
                    <w:rPr>
                      <w:color w:val="000000"/>
                      <w:kern w:val="0"/>
                      <w:sz w:val="21"/>
                      <w:szCs w:val="21"/>
                    </w:rPr>
                    <w:t>1.一般生态空间以保护和修复生态环境、提供生态产品和服务为首要任务，因地制宜地发展不影响主体功能定位的适宜产业。</w:t>
                  </w:r>
                </w:p>
                <w:p w14:paraId="4C92D7E3">
                  <w:pPr>
                    <w:widowControl/>
                    <w:snapToGrid w:val="0"/>
                    <w:spacing w:line="340" w:lineRule="exact"/>
                    <w:ind w:firstLine="0" w:firstLineChars="0"/>
                    <w:rPr>
                      <w:color w:val="000000"/>
                      <w:kern w:val="0"/>
                      <w:sz w:val="21"/>
                      <w:szCs w:val="21"/>
                    </w:rPr>
                  </w:pPr>
                  <w:r>
                    <w:rPr>
                      <w:color w:val="000000"/>
                      <w:kern w:val="0"/>
                      <w:sz w:val="21"/>
                      <w:szCs w:val="21"/>
                    </w:rPr>
                    <w:t>2.一般生态空间内未纳入生态保护红线的饮用水水源保护区等各类法定保护地，其管控要求依照相关法律法规执行。</w:t>
                  </w:r>
                </w:p>
                <w:p w14:paraId="2DA54F22">
                  <w:pPr>
                    <w:widowControl/>
                    <w:snapToGrid w:val="0"/>
                    <w:spacing w:line="340" w:lineRule="exact"/>
                    <w:ind w:firstLine="0" w:firstLineChars="0"/>
                    <w:rPr>
                      <w:color w:val="000000"/>
                      <w:kern w:val="0"/>
                      <w:sz w:val="21"/>
                      <w:szCs w:val="21"/>
                    </w:rPr>
                  </w:pPr>
                  <w:r>
                    <w:rPr>
                      <w:color w:val="000000"/>
                      <w:kern w:val="0"/>
                      <w:sz w:val="21"/>
                      <w:szCs w:val="21"/>
                    </w:rPr>
                    <w:t>3.一般生态空间内现有合法的水泥厂、矿山开发等生产性设施及生活垃圾处置等民生工程予以保留，应按照法律法规要求落实污染防治和生态保护措施，避免对生态功能造成破坏。</w:t>
                  </w:r>
                </w:p>
              </w:tc>
              <w:tc>
                <w:tcPr>
                  <w:tcW w:w="888" w:type="pct"/>
                  <w:vAlign w:val="center"/>
                </w:tcPr>
                <w:p w14:paraId="5B626497">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rPr>
                      <w:color w:val="000000"/>
                      <w:sz w:val="21"/>
                      <w:szCs w:val="21"/>
                    </w:rPr>
                  </w:pPr>
                  <w:r>
                    <w:rPr>
                      <w:color w:val="000000"/>
                      <w:sz w:val="21"/>
                      <w:szCs w:val="21"/>
                    </w:rPr>
                    <w:t>项目位于福建省福州市闽侯县甘蔗街道陈店湖路18号，</w:t>
                  </w:r>
                  <w:r>
                    <w:rPr>
                      <w:color w:val="000000"/>
                      <w:kern w:val="0"/>
                      <w:sz w:val="21"/>
                      <w:szCs w:val="21"/>
                    </w:rPr>
                    <w:t>不涉及一般生态空间。</w:t>
                  </w:r>
                </w:p>
              </w:tc>
              <w:tc>
                <w:tcPr>
                  <w:tcW w:w="223" w:type="pct"/>
                  <w:vAlign w:val="center"/>
                </w:tcPr>
                <w:p w14:paraId="7F388A5A">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r>
                    <w:rPr>
                      <w:color w:val="000000"/>
                      <w:sz w:val="21"/>
                      <w:szCs w:val="21"/>
                    </w:rPr>
                    <w:t>符合</w:t>
                  </w:r>
                </w:p>
              </w:tc>
            </w:tr>
            <w:tr w14:paraId="485913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217" w:type="pct"/>
                  <w:vMerge w:val="continue"/>
                  <w:vAlign w:val="center"/>
                </w:tcPr>
                <w:p w14:paraId="4CAF2DEB">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p>
              </w:tc>
              <w:tc>
                <w:tcPr>
                  <w:tcW w:w="309" w:type="pct"/>
                  <w:vMerge w:val="continue"/>
                  <w:vAlign w:val="center"/>
                </w:tcPr>
                <w:p w14:paraId="7335C312">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p>
              </w:tc>
              <w:tc>
                <w:tcPr>
                  <w:tcW w:w="3360" w:type="pct"/>
                  <w:vAlign w:val="center"/>
                </w:tcPr>
                <w:p w14:paraId="3DF38C7E">
                  <w:pPr>
                    <w:widowControl/>
                    <w:snapToGrid w:val="0"/>
                    <w:spacing w:line="340" w:lineRule="exact"/>
                    <w:ind w:firstLine="0" w:firstLineChars="0"/>
                    <w:jc w:val="left"/>
                    <w:rPr>
                      <w:b/>
                      <w:bCs/>
                      <w:color w:val="000000"/>
                      <w:kern w:val="0"/>
                      <w:sz w:val="21"/>
                      <w:szCs w:val="21"/>
                    </w:rPr>
                  </w:pPr>
                  <w:r>
                    <w:rPr>
                      <w:b/>
                      <w:bCs/>
                      <w:color w:val="000000"/>
                      <w:kern w:val="0"/>
                      <w:sz w:val="21"/>
                      <w:szCs w:val="21"/>
                    </w:rPr>
                    <w:t>三、其他要求</w:t>
                  </w:r>
                </w:p>
                <w:p w14:paraId="3E0D39A4">
                  <w:pPr>
                    <w:widowControl/>
                    <w:snapToGrid w:val="0"/>
                    <w:spacing w:line="340" w:lineRule="exact"/>
                    <w:ind w:firstLine="0" w:firstLineChars="0"/>
                    <w:jc w:val="left"/>
                    <w:rPr>
                      <w:color w:val="000000"/>
                      <w:kern w:val="0"/>
                      <w:sz w:val="21"/>
                      <w:szCs w:val="21"/>
                    </w:rPr>
                  </w:pPr>
                  <w:r>
                    <w:rPr>
                      <w:color w:val="000000"/>
                      <w:kern w:val="0"/>
                      <w:sz w:val="21"/>
                      <w:szCs w:val="21"/>
                    </w:rPr>
                    <w:t>1.福州市石化中上游项目重点在福州江阴港城经济区、可门港经济区化工新材料产业园布局。</w:t>
                  </w:r>
                </w:p>
                <w:p w14:paraId="77F935AD">
                  <w:pPr>
                    <w:widowControl/>
                    <w:snapToGrid w:val="0"/>
                    <w:spacing w:line="340" w:lineRule="exact"/>
                    <w:ind w:firstLine="0" w:firstLineChars="0"/>
                    <w:jc w:val="left"/>
                    <w:rPr>
                      <w:color w:val="000000"/>
                      <w:kern w:val="0"/>
                      <w:sz w:val="21"/>
                      <w:szCs w:val="21"/>
                    </w:rPr>
                  </w:pPr>
                  <w:r>
                    <w:rPr>
                      <w:color w:val="000000"/>
                      <w:kern w:val="0"/>
                      <w:sz w:val="21"/>
                      <w:szCs w:val="21"/>
                    </w:rPr>
                    <w:t>2.禁止在闽江马尾罗星塔以上流域范围新、扩建制革项目，严控新（扩）建植物制浆、印染、合成革及人造革、电镀项目。</w:t>
                  </w:r>
                </w:p>
                <w:p w14:paraId="4019FE6F">
                  <w:pPr>
                    <w:widowControl/>
                    <w:snapToGrid w:val="0"/>
                    <w:spacing w:line="340" w:lineRule="exact"/>
                    <w:ind w:firstLine="0" w:firstLineChars="0"/>
                    <w:jc w:val="left"/>
                    <w:rPr>
                      <w:color w:val="000000"/>
                      <w:kern w:val="0"/>
                      <w:sz w:val="21"/>
                      <w:szCs w:val="21"/>
                    </w:rPr>
                  </w:pPr>
                  <w:r>
                    <w:rPr>
                      <w:color w:val="000000"/>
                      <w:kern w:val="0"/>
                      <w:sz w:val="21"/>
                      <w:szCs w:val="21"/>
                    </w:rPr>
                    <w:t>3.禁止在通风廊道和主导风向的上风向布局大气重污染企业，推进建成区大气重污染企业搬迁或升级改造、环境风险企业搬迁或关闭退出。</w:t>
                  </w:r>
                </w:p>
                <w:p w14:paraId="25E7FCC6">
                  <w:pPr>
                    <w:widowControl/>
                    <w:snapToGrid w:val="0"/>
                    <w:spacing w:line="340" w:lineRule="exact"/>
                    <w:ind w:firstLine="0" w:firstLineChars="0"/>
                    <w:jc w:val="left"/>
                    <w:rPr>
                      <w:color w:val="000000"/>
                      <w:kern w:val="0"/>
                      <w:sz w:val="21"/>
                      <w:szCs w:val="21"/>
                    </w:rPr>
                  </w:pPr>
                  <w:r>
                    <w:rPr>
                      <w:color w:val="000000"/>
                      <w:kern w:val="0"/>
                      <w:sz w:val="21"/>
                      <w:szCs w:val="21"/>
                    </w:rPr>
                    <w:t>4.禁止新、改、扩建生产高VOCs含量有机溶剂型涂料、油墨和胶黏剂的项目。</w:t>
                  </w:r>
                </w:p>
                <w:p w14:paraId="70A56DF9">
                  <w:pPr>
                    <w:widowControl/>
                    <w:snapToGrid w:val="0"/>
                    <w:spacing w:line="340" w:lineRule="exact"/>
                    <w:ind w:firstLine="0" w:firstLineChars="0"/>
                    <w:jc w:val="left"/>
                    <w:rPr>
                      <w:color w:val="000000"/>
                      <w:kern w:val="0"/>
                      <w:sz w:val="21"/>
                      <w:szCs w:val="21"/>
                    </w:rPr>
                  </w:pPr>
                  <w:r>
                    <w:rPr>
                      <w:color w:val="000000"/>
                      <w:kern w:val="0"/>
                      <w:sz w:val="21"/>
                      <w:szCs w:val="21"/>
                    </w:rPr>
                    <w:t>5.持续加强闽清等地建陶产业的环境综合治理，充分衔接国土空间规划和生态环境分区管控，并对照产业政策、城市总体发展规划等要求，进一步明确发展定位，优化产业布局和规模。</w:t>
                  </w:r>
                </w:p>
                <w:p w14:paraId="6BFB328D">
                  <w:pPr>
                    <w:widowControl/>
                    <w:snapToGrid w:val="0"/>
                    <w:spacing w:line="340" w:lineRule="exact"/>
                    <w:ind w:firstLine="0" w:firstLineChars="0"/>
                    <w:jc w:val="left"/>
                    <w:rPr>
                      <w:color w:val="000000"/>
                      <w:kern w:val="0"/>
                      <w:sz w:val="21"/>
                      <w:szCs w:val="21"/>
                    </w:rPr>
                  </w:pPr>
                  <w:r>
                    <w:rPr>
                      <w:color w:val="000000"/>
                      <w:kern w:val="0"/>
                      <w:sz w:val="21"/>
                      <w:szCs w:val="21"/>
                    </w:rPr>
                    <w:t>6.新建、扩建的涉及重点重金属污染物</w:t>
                  </w:r>
                  <w:r>
                    <w:rPr>
                      <w:color w:val="000000"/>
                      <w:kern w:val="0"/>
                      <w:sz w:val="21"/>
                      <w:szCs w:val="21"/>
                      <w:vertAlign w:val="superscript"/>
                    </w:rPr>
                    <w:t>[1]</w:t>
                  </w:r>
                  <w:r>
                    <w:rPr>
                      <w:color w:val="000000"/>
                      <w:kern w:val="0"/>
                      <w:sz w:val="21"/>
                      <w:szCs w:val="21"/>
                    </w:rPr>
                    <w:t>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14:paraId="5C86392A">
                  <w:pPr>
                    <w:widowControl/>
                    <w:snapToGrid w:val="0"/>
                    <w:spacing w:line="340" w:lineRule="exact"/>
                    <w:ind w:firstLine="0" w:firstLineChars="0"/>
                    <w:jc w:val="left"/>
                    <w:rPr>
                      <w:color w:val="000000"/>
                      <w:kern w:val="0"/>
                      <w:sz w:val="21"/>
                      <w:szCs w:val="21"/>
                    </w:rPr>
                  </w:pPr>
                  <w:r>
                    <w:rPr>
                      <w:color w:val="000000"/>
                      <w:kern w:val="0"/>
                      <w:sz w:val="21"/>
                      <w:szCs w:val="21"/>
                    </w:rPr>
                    <w:t>7.禁止在流域上游新建、扩建重污染企业和项目。</w:t>
                  </w:r>
                </w:p>
                <w:p w14:paraId="6059A097">
                  <w:pPr>
                    <w:widowControl/>
                    <w:snapToGrid w:val="0"/>
                    <w:spacing w:line="340" w:lineRule="exact"/>
                    <w:ind w:firstLine="0" w:firstLineChars="0"/>
                    <w:jc w:val="left"/>
                    <w:rPr>
                      <w:color w:val="000000"/>
                      <w:kern w:val="0"/>
                      <w:sz w:val="21"/>
                      <w:szCs w:val="21"/>
                    </w:rPr>
                  </w:pPr>
                  <w:r>
                    <w:rPr>
                      <w:color w:val="000000"/>
                      <w:kern w:val="0"/>
                      <w:sz w:val="21"/>
                      <w:szCs w:val="21"/>
                    </w:rPr>
                    <w:t>8.重要敏感水体及富营养化湖库生态缓冲带除相关政府部门批准的科学研究活动外，禁止其它可能对保护区构成危害或不良影响的大规模生产、建设活动。</w:t>
                  </w:r>
                </w:p>
                <w:p w14:paraId="5F6FBCCB">
                  <w:pPr>
                    <w:widowControl/>
                    <w:snapToGrid w:val="0"/>
                    <w:spacing w:line="340" w:lineRule="exact"/>
                    <w:ind w:firstLine="0" w:firstLineChars="0"/>
                    <w:jc w:val="left"/>
                    <w:rPr>
                      <w:color w:val="000000"/>
                      <w:kern w:val="0"/>
                      <w:sz w:val="21"/>
                      <w:szCs w:val="21"/>
                    </w:rPr>
                  </w:pPr>
                  <w:r>
                    <w:rPr>
                      <w:color w:val="000000"/>
                      <w:kern w:val="0"/>
                      <w:sz w:val="21"/>
                      <w:szCs w:val="21"/>
                    </w:rPr>
                    <w:t>9.新、改、扩建煤电、钢铁、建材、石化、化工等</w:t>
                  </w:r>
                  <w:r>
                    <w:rPr>
                      <w:rFonts w:hint="eastAsia"/>
                      <w:color w:val="000000"/>
                      <w:kern w:val="0"/>
                      <w:sz w:val="21"/>
                      <w:szCs w:val="21"/>
                    </w:rPr>
                    <w:t>“</w:t>
                  </w:r>
                  <w:r>
                    <w:rPr>
                      <w:color w:val="000000"/>
                      <w:kern w:val="0"/>
                      <w:sz w:val="21"/>
                      <w:szCs w:val="21"/>
                    </w:rPr>
                    <w:t>两高</w:t>
                  </w:r>
                  <w:r>
                    <w:rPr>
                      <w:rFonts w:hint="eastAsia"/>
                      <w:color w:val="000000"/>
                      <w:kern w:val="0"/>
                      <w:sz w:val="21"/>
                      <w:szCs w:val="21"/>
                    </w:rPr>
                    <w:t>”</w:t>
                  </w:r>
                  <w:r>
                    <w:rPr>
                      <w:color w:val="000000"/>
                      <w:kern w:val="0"/>
                      <w:sz w:val="21"/>
                      <w:szCs w:val="21"/>
                    </w:rPr>
                    <w:t>项目，严格落实国家、省、市产业规划、产业政策、</w:t>
                  </w:r>
                  <w:r>
                    <w:rPr>
                      <w:rFonts w:hint="eastAsia"/>
                      <w:color w:val="000000"/>
                      <w:kern w:val="0"/>
                      <w:sz w:val="21"/>
                      <w:szCs w:val="21"/>
                    </w:rPr>
                    <w:t>“</w:t>
                  </w:r>
                  <w:r>
                    <w:rPr>
                      <w:color w:val="000000"/>
                      <w:kern w:val="0"/>
                      <w:sz w:val="21"/>
                      <w:szCs w:val="21"/>
                    </w:rPr>
                    <w:t>三线一单</w:t>
                  </w:r>
                  <w:r>
                    <w:rPr>
                      <w:rFonts w:hint="eastAsia"/>
                      <w:color w:val="000000"/>
                      <w:kern w:val="0"/>
                      <w:sz w:val="21"/>
                      <w:szCs w:val="21"/>
                    </w:rPr>
                    <w:t>”</w:t>
                  </w:r>
                  <w:r>
                    <w:rPr>
                      <w:color w:val="000000"/>
                      <w:kern w:val="0"/>
                      <w:sz w:val="21"/>
                      <w:szCs w:val="21"/>
                    </w:rPr>
                    <w:t>、规划环评，以及产能置换、煤炭消费减量替代、区域污染削减等相关要求。</w:t>
                  </w:r>
                </w:p>
                <w:p w14:paraId="1FE7E405">
                  <w:pPr>
                    <w:widowControl/>
                    <w:snapToGrid w:val="0"/>
                    <w:spacing w:line="340" w:lineRule="exact"/>
                    <w:ind w:firstLine="0" w:firstLineChars="0"/>
                    <w:jc w:val="left"/>
                    <w:rPr>
                      <w:color w:val="000000"/>
                      <w:kern w:val="0"/>
                      <w:sz w:val="21"/>
                      <w:szCs w:val="21"/>
                    </w:rPr>
                  </w:pPr>
                  <w:r>
                    <w:rPr>
                      <w:color w:val="000000"/>
                      <w:kern w:val="0"/>
                      <w:sz w:val="21"/>
                      <w:szCs w:val="21"/>
                    </w:rPr>
                    <w:t>10.单元内涉及永久基本农田的，应按照《福建省基本农田保护条例》（2010年修正本）、《国土资源部关于全面实行永久基本农田特殊保护的通知》（国土资规〔2018〕1号）、《</w:t>
                  </w:r>
                  <w:r>
                    <w:rPr>
                      <w:rFonts w:hint="eastAsia"/>
                      <w:color w:val="000000"/>
                      <w:kern w:val="0"/>
                      <w:sz w:val="21"/>
                      <w:szCs w:val="21"/>
                      <w:lang w:eastAsia="zh-CN"/>
                    </w:rPr>
                    <w:t>中共中央国务院</w:t>
                  </w:r>
                  <w:r>
                    <w:rPr>
                      <w:color w:val="000000"/>
                      <w:kern w:val="0"/>
                      <w:sz w:val="21"/>
                      <w:szCs w:val="21"/>
                    </w:rPr>
                    <w:t>关于加强耕地保护和改进占补平衡的意见》（2017年1月9日）等相关文件要求进行严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888" w:type="pct"/>
                  <w:vAlign w:val="center"/>
                </w:tcPr>
                <w:p w14:paraId="2CCAD953">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kern w:val="0"/>
                      <w:sz w:val="21"/>
                      <w:szCs w:val="21"/>
                    </w:rPr>
                  </w:pPr>
                  <w:r>
                    <w:rPr>
                      <w:color w:val="000000"/>
                      <w:kern w:val="0"/>
                      <w:sz w:val="21"/>
                      <w:szCs w:val="21"/>
                    </w:rPr>
                    <w:t>1.项目不属于石化项目；</w:t>
                  </w:r>
                </w:p>
                <w:p w14:paraId="1D3A44C9">
                  <w:pPr>
                    <w:widowControl/>
                    <w:snapToGrid w:val="0"/>
                    <w:spacing w:line="340" w:lineRule="exact"/>
                    <w:ind w:firstLine="0" w:firstLineChars="0"/>
                    <w:jc w:val="left"/>
                    <w:rPr>
                      <w:color w:val="000000"/>
                      <w:kern w:val="0"/>
                      <w:sz w:val="21"/>
                      <w:szCs w:val="21"/>
                    </w:rPr>
                  </w:pPr>
                  <w:r>
                    <w:rPr>
                      <w:color w:val="000000"/>
                      <w:kern w:val="0"/>
                      <w:sz w:val="21"/>
                      <w:szCs w:val="21"/>
                    </w:rPr>
                    <w:t>2.项目不属于制革项目，也不属于植物制浆、印染、合成革及人造革、电镀项目；</w:t>
                  </w:r>
                </w:p>
                <w:p w14:paraId="25A76AFE">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kern w:val="0"/>
                      <w:sz w:val="21"/>
                      <w:szCs w:val="21"/>
                    </w:rPr>
                  </w:pPr>
                  <w:r>
                    <w:rPr>
                      <w:color w:val="000000"/>
                      <w:kern w:val="0"/>
                      <w:sz w:val="21"/>
                      <w:szCs w:val="21"/>
                    </w:rPr>
                    <w:t>3.项目废气经处理后可</w:t>
                  </w:r>
                  <w:r>
                    <w:rPr>
                      <w:rFonts w:hint="eastAsia"/>
                      <w:color w:val="000000"/>
                      <w:kern w:val="0"/>
                      <w:sz w:val="21"/>
                      <w:szCs w:val="21"/>
                    </w:rPr>
                    <w:t>满足《水泥工业大气污染</w:t>
                  </w:r>
                </w:p>
                <w:p w14:paraId="7CAAF3AC">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kern w:val="0"/>
                      <w:sz w:val="21"/>
                      <w:szCs w:val="21"/>
                    </w:rPr>
                  </w:pPr>
                  <w:r>
                    <w:rPr>
                      <w:rFonts w:hint="eastAsia"/>
                      <w:color w:val="000000"/>
                      <w:kern w:val="0"/>
                      <w:sz w:val="21"/>
                      <w:szCs w:val="21"/>
                    </w:rPr>
                    <w:t>物排放标准》（GB4915-2013）表2大气污染物特别排放限值要求（排放浓度≤10mg/m</w:t>
                  </w:r>
                  <w:r>
                    <w:rPr>
                      <w:rFonts w:hint="eastAsia"/>
                      <w:color w:val="000000"/>
                      <w:kern w:val="0"/>
                      <w:sz w:val="21"/>
                      <w:szCs w:val="21"/>
                      <w:vertAlign w:val="superscript"/>
                    </w:rPr>
                    <w:t>3</w:t>
                  </w:r>
                  <w:r>
                    <w:rPr>
                      <w:rFonts w:hint="eastAsia"/>
                      <w:color w:val="000000"/>
                      <w:kern w:val="0"/>
                      <w:sz w:val="21"/>
                      <w:szCs w:val="21"/>
                    </w:rPr>
                    <w:t>）标准</w:t>
                  </w:r>
                  <w:r>
                    <w:rPr>
                      <w:color w:val="000000"/>
                      <w:kern w:val="0"/>
                      <w:sz w:val="21"/>
                      <w:szCs w:val="21"/>
                    </w:rPr>
                    <w:t>排放；</w:t>
                  </w:r>
                </w:p>
                <w:p w14:paraId="2BAD67AD">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kern w:val="0"/>
                      <w:sz w:val="21"/>
                      <w:szCs w:val="21"/>
                    </w:rPr>
                  </w:pPr>
                  <w:r>
                    <w:rPr>
                      <w:color w:val="000000"/>
                      <w:kern w:val="0"/>
                      <w:sz w:val="21"/>
                      <w:szCs w:val="21"/>
                    </w:rPr>
                    <w:t>4.项目不属于生产高VOCs含量有机溶剂型涂料、油墨和胶黏剂的项目；</w:t>
                  </w:r>
                </w:p>
                <w:p w14:paraId="1CDAD80B">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kern w:val="0"/>
                      <w:sz w:val="21"/>
                      <w:szCs w:val="21"/>
                    </w:rPr>
                  </w:pPr>
                  <w:r>
                    <w:rPr>
                      <w:color w:val="000000"/>
                      <w:kern w:val="0"/>
                      <w:sz w:val="21"/>
                      <w:szCs w:val="21"/>
                    </w:rPr>
                    <w:t>5.项目不属于建陶行业；</w:t>
                  </w:r>
                </w:p>
                <w:p w14:paraId="4948F2A7">
                  <w:pPr>
                    <w:spacing w:line="340" w:lineRule="exact"/>
                    <w:ind w:firstLine="0" w:firstLineChars="0"/>
                    <w:rPr>
                      <w:color w:val="000000"/>
                      <w:kern w:val="0"/>
                      <w:sz w:val="21"/>
                      <w:szCs w:val="21"/>
                    </w:rPr>
                  </w:pPr>
                  <w:r>
                    <w:rPr>
                      <w:color w:val="000000"/>
                      <w:kern w:val="0"/>
                      <w:sz w:val="21"/>
                      <w:szCs w:val="21"/>
                    </w:rPr>
                    <w:t>6.项目不涉及重点重金属污染物排放，不属于低端落后产能项目，不涉及使用汞的电石法（聚）氯乙烯生产工艺，不属于电镀企业；</w:t>
                  </w:r>
                </w:p>
                <w:p w14:paraId="28D02EEF">
                  <w:pPr>
                    <w:widowControl/>
                    <w:snapToGrid w:val="0"/>
                    <w:spacing w:line="340" w:lineRule="exact"/>
                    <w:ind w:firstLine="0" w:firstLineChars="0"/>
                    <w:rPr>
                      <w:color w:val="000000"/>
                      <w:kern w:val="0"/>
                      <w:sz w:val="21"/>
                      <w:szCs w:val="21"/>
                    </w:rPr>
                  </w:pPr>
                  <w:r>
                    <w:rPr>
                      <w:color w:val="000000"/>
                      <w:kern w:val="0"/>
                      <w:sz w:val="21"/>
                      <w:szCs w:val="21"/>
                    </w:rPr>
                    <w:t>7.项目不属于重污染企业和项目；</w:t>
                  </w:r>
                </w:p>
                <w:p w14:paraId="7CC44188">
                  <w:pPr>
                    <w:spacing w:line="340" w:lineRule="exact"/>
                    <w:ind w:firstLine="0" w:firstLineChars="0"/>
                    <w:rPr>
                      <w:color w:val="000000"/>
                      <w:kern w:val="0"/>
                      <w:sz w:val="21"/>
                      <w:szCs w:val="21"/>
                    </w:rPr>
                  </w:pPr>
                  <w:r>
                    <w:rPr>
                      <w:color w:val="000000"/>
                      <w:kern w:val="0"/>
                      <w:sz w:val="21"/>
                      <w:szCs w:val="21"/>
                    </w:rPr>
                    <w:t>8.项目不位于重要敏感水体及富营养化湖库生态缓冲带；</w:t>
                  </w:r>
                </w:p>
                <w:p w14:paraId="1D65EA3A">
                  <w:pPr>
                    <w:widowControl/>
                    <w:snapToGrid w:val="0"/>
                    <w:spacing w:line="340" w:lineRule="exact"/>
                    <w:ind w:firstLine="0" w:firstLineChars="0"/>
                    <w:rPr>
                      <w:color w:val="000000"/>
                      <w:kern w:val="0"/>
                      <w:sz w:val="21"/>
                      <w:szCs w:val="21"/>
                    </w:rPr>
                  </w:pPr>
                  <w:r>
                    <w:rPr>
                      <w:color w:val="000000"/>
                      <w:kern w:val="0"/>
                      <w:sz w:val="21"/>
                      <w:szCs w:val="21"/>
                    </w:rPr>
                    <w:t>9.项目不属于煤电、钢铁、建材、石化、化工等</w:t>
                  </w:r>
                  <w:r>
                    <w:rPr>
                      <w:rFonts w:hint="eastAsia"/>
                      <w:color w:val="000000"/>
                      <w:kern w:val="0"/>
                      <w:sz w:val="21"/>
                      <w:szCs w:val="21"/>
                    </w:rPr>
                    <w:t>“</w:t>
                  </w:r>
                  <w:r>
                    <w:rPr>
                      <w:color w:val="000000"/>
                      <w:kern w:val="0"/>
                      <w:sz w:val="21"/>
                      <w:szCs w:val="21"/>
                    </w:rPr>
                    <w:t>两高</w:t>
                  </w:r>
                  <w:r>
                    <w:rPr>
                      <w:rFonts w:hint="eastAsia"/>
                      <w:color w:val="000000"/>
                      <w:kern w:val="0"/>
                      <w:sz w:val="21"/>
                      <w:szCs w:val="21"/>
                    </w:rPr>
                    <w:t>”</w:t>
                  </w:r>
                  <w:r>
                    <w:rPr>
                      <w:color w:val="000000"/>
                      <w:kern w:val="0"/>
                      <w:sz w:val="21"/>
                      <w:szCs w:val="21"/>
                    </w:rPr>
                    <w:t>项目；</w:t>
                  </w:r>
                </w:p>
                <w:p w14:paraId="0295AD6F">
                  <w:pPr>
                    <w:spacing w:line="340" w:lineRule="exact"/>
                    <w:ind w:firstLine="0" w:firstLineChars="0"/>
                    <w:rPr>
                      <w:color w:val="000000"/>
                      <w:sz w:val="21"/>
                      <w:szCs w:val="21"/>
                    </w:rPr>
                  </w:pPr>
                  <w:r>
                    <w:rPr>
                      <w:color w:val="000000"/>
                      <w:kern w:val="0"/>
                      <w:sz w:val="21"/>
                      <w:szCs w:val="21"/>
                    </w:rPr>
                    <w:t>10.项目用地不涉及永久基本农田、防风固沙林、农田保护林。</w:t>
                  </w:r>
                </w:p>
              </w:tc>
              <w:tc>
                <w:tcPr>
                  <w:tcW w:w="223" w:type="pct"/>
                  <w:vAlign w:val="center"/>
                </w:tcPr>
                <w:p w14:paraId="6D27B601">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r>
                    <w:rPr>
                      <w:color w:val="000000"/>
                      <w:sz w:val="21"/>
                      <w:szCs w:val="21"/>
                    </w:rPr>
                    <w:t>符合</w:t>
                  </w:r>
                </w:p>
              </w:tc>
            </w:tr>
            <w:tr w14:paraId="2FB77B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217" w:type="pct"/>
                  <w:vMerge w:val="continue"/>
                  <w:vAlign w:val="center"/>
                </w:tcPr>
                <w:p w14:paraId="2D577ADA">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p>
              </w:tc>
              <w:tc>
                <w:tcPr>
                  <w:tcW w:w="309" w:type="pct"/>
                  <w:vAlign w:val="center"/>
                </w:tcPr>
                <w:p w14:paraId="71A3F7C8">
                  <w:pPr>
                    <w:adjustRightInd w:val="0"/>
                    <w:snapToGrid w:val="0"/>
                    <w:spacing w:line="340" w:lineRule="exact"/>
                    <w:ind w:firstLine="0" w:firstLineChars="0"/>
                    <w:jc w:val="center"/>
                    <w:rPr>
                      <w:color w:val="000000"/>
                      <w:sz w:val="21"/>
                      <w:szCs w:val="21"/>
                    </w:rPr>
                  </w:pPr>
                  <w:r>
                    <w:rPr>
                      <w:color w:val="000000"/>
                      <w:kern w:val="0"/>
                      <w:sz w:val="21"/>
                      <w:szCs w:val="21"/>
                    </w:rPr>
                    <w:t>污染物排放管控</w:t>
                  </w:r>
                </w:p>
              </w:tc>
              <w:tc>
                <w:tcPr>
                  <w:tcW w:w="3360" w:type="pct"/>
                  <w:vAlign w:val="center"/>
                </w:tcPr>
                <w:p w14:paraId="0574CA55">
                  <w:pPr>
                    <w:adjustRightInd w:val="0"/>
                    <w:snapToGrid w:val="0"/>
                    <w:spacing w:line="340" w:lineRule="exact"/>
                    <w:ind w:firstLine="0" w:firstLineChars="0"/>
                    <w:jc w:val="left"/>
                    <w:rPr>
                      <w:color w:val="000000"/>
                      <w:sz w:val="21"/>
                      <w:szCs w:val="21"/>
                    </w:rPr>
                  </w:pPr>
                  <w:r>
                    <w:rPr>
                      <w:color w:val="000000"/>
                      <w:sz w:val="21"/>
                      <w:szCs w:val="21"/>
                    </w:rPr>
                    <w:t>1.工业类新（改、扩）建项目新增主要污染物（水污染物化学需氧量、氨氮和大气污染物二氧化硫、氮氧化物）排放总量指标应符合区域环境质量和总量控制要求，立足于通过</w:t>
                  </w:r>
                  <w:r>
                    <w:rPr>
                      <w:rFonts w:hint="eastAsia"/>
                      <w:color w:val="000000"/>
                      <w:sz w:val="21"/>
                      <w:szCs w:val="21"/>
                    </w:rPr>
                    <w:t>“</w:t>
                  </w:r>
                  <w:r>
                    <w:rPr>
                      <w:color w:val="000000"/>
                      <w:sz w:val="21"/>
                      <w:szCs w:val="21"/>
                    </w:rPr>
                    <w:t>以新带老</w:t>
                  </w:r>
                  <w:r>
                    <w:rPr>
                      <w:rFonts w:hint="eastAsia"/>
                      <w:color w:val="000000"/>
                      <w:sz w:val="21"/>
                      <w:szCs w:val="21"/>
                    </w:rPr>
                    <w:t>”</w:t>
                  </w:r>
                  <w:r>
                    <w:rPr>
                      <w:color w:val="000000"/>
                      <w:sz w:val="21"/>
                      <w:szCs w:val="21"/>
                    </w:rPr>
                    <w:t>、削减存量，努力实现区域、企业自身总量平衡。总量指标来源、审核和监督管理按照</w:t>
                  </w:r>
                  <w:r>
                    <w:rPr>
                      <w:rFonts w:hint="eastAsia"/>
                      <w:color w:val="000000"/>
                      <w:sz w:val="21"/>
                      <w:szCs w:val="21"/>
                    </w:rPr>
                    <w:t>“</w:t>
                  </w:r>
                  <w:r>
                    <w:rPr>
                      <w:color w:val="000000"/>
                      <w:sz w:val="21"/>
                      <w:szCs w:val="21"/>
                    </w:rPr>
                    <w:t>榕环保综〔2017〕90号</w:t>
                  </w:r>
                  <w:r>
                    <w:rPr>
                      <w:rFonts w:hint="eastAsia"/>
                      <w:color w:val="000000"/>
                      <w:sz w:val="21"/>
                      <w:szCs w:val="21"/>
                    </w:rPr>
                    <w:t>”</w:t>
                  </w:r>
                  <w:r>
                    <w:rPr>
                      <w:color w:val="000000"/>
                      <w:sz w:val="21"/>
                      <w:szCs w:val="21"/>
                    </w:rPr>
                    <w:t>等相关文件执行。</w:t>
                  </w:r>
                </w:p>
                <w:p w14:paraId="28E0604C">
                  <w:pPr>
                    <w:adjustRightInd w:val="0"/>
                    <w:snapToGrid w:val="0"/>
                    <w:spacing w:line="340" w:lineRule="exact"/>
                    <w:ind w:firstLine="0" w:firstLineChars="0"/>
                    <w:jc w:val="left"/>
                    <w:rPr>
                      <w:color w:val="000000"/>
                      <w:sz w:val="21"/>
                      <w:szCs w:val="21"/>
                    </w:rPr>
                  </w:pPr>
                  <w:r>
                    <w:rPr>
                      <w:color w:val="000000"/>
                      <w:sz w:val="21"/>
                      <w:szCs w:val="21"/>
                    </w:rPr>
                    <w:t>2.新、改、扩建涉VOCs排放项目，应从源头加强控制，使用低（无）VOCs含量的原辅材料，实施新建项目VOCs排放区域内1.2及以上倍量替代。</w:t>
                  </w:r>
                </w:p>
                <w:p w14:paraId="03D3B173">
                  <w:pPr>
                    <w:adjustRightInd w:val="0"/>
                    <w:snapToGrid w:val="0"/>
                    <w:spacing w:line="340" w:lineRule="exact"/>
                    <w:ind w:firstLine="0" w:firstLineChars="0"/>
                    <w:jc w:val="left"/>
                    <w:rPr>
                      <w:color w:val="000000"/>
                      <w:sz w:val="21"/>
                      <w:szCs w:val="21"/>
                    </w:rPr>
                  </w:pPr>
                  <w:r>
                    <w:rPr>
                      <w:color w:val="000000"/>
                      <w:sz w:val="21"/>
                      <w:szCs w:val="21"/>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14:paraId="46100B0E">
                  <w:pPr>
                    <w:adjustRightInd w:val="0"/>
                    <w:snapToGrid w:val="0"/>
                    <w:spacing w:line="340" w:lineRule="exact"/>
                    <w:ind w:firstLine="0" w:firstLineChars="0"/>
                    <w:jc w:val="left"/>
                    <w:rPr>
                      <w:color w:val="000000"/>
                      <w:sz w:val="21"/>
                      <w:szCs w:val="21"/>
                    </w:rPr>
                  </w:pPr>
                  <w:r>
                    <w:rPr>
                      <w:color w:val="000000"/>
                      <w:sz w:val="21"/>
                      <w:szCs w:val="21"/>
                    </w:rPr>
                    <w:t>4.氟化工、印染、电镀等行业企业实行水污染物特别排放限值。</w:t>
                  </w:r>
                </w:p>
                <w:p w14:paraId="2C7CA58D">
                  <w:pPr>
                    <w:adjustRightInd w:val="0"/>
                    <w:snapToGrid w:val="0"/>
                    <w:spacing w:line="340" w:lineRule="exact"/>
                    <w:ind w:firstLine="0" w:firstLineChars="0"/>
                    <w:jc w:val="left"/>
                    <w:rPr>
                      <w:color w:val="000000"/>
                      <w:sz w:val="21"/>
                      <w:szCs w:val="21"/>
                    </w:rPr>
                  </w:pPr>
                  <w:r>
                    <w:rPr>
                      <w:color w:val="000000"/>
                      <w:sz w:val="21"/>
                      <w:szCs w:val="21"/>
                    </w:rPr>
                    <w:t>5.新、改、扩建重点行业</w:t>
                  </w:r>
                  <w:r>
                    <w:rPr>
                      <w:color w:val="000000"/>
                      <w:sz w:val="21"/>
                      <w:szCs w:val="21"/>
                      <w:vertAlign w:val="superscript"/>
                    </w:rPr>
                    <w:t>［2］</w:t>
                  </w:r>
                  <w:r>
                    <w:rPr>
                      <w:color w:val="000000"/>
                      <w:sz w:val="21"/>
                      <w:szCs w:val="21"/>
                    </w:rPr>
                    <w:t>建设项目要遵循重点重金属污染物排放</w:t>
                  </w:r>
                  <w:r>
                    <w:rPr>
                      <w:rFonts w:hint="eastAsia"/>
                      <w:color w:val="000000"/>
                      <w:sz w:val="21"/>
                      <w:szCs w:val="21"/>
                    </w:rPr>
                    <w:t>“</w:t>
                  </w:r>
                  <w:r>
                    <w:rPr>
                      <w:color w:val="000000"/>
                      <w:sz w:val="21"/>
                      <w:szCs w:val="21"/>
                    </w:rPr>
                    <w:t>等量替代</w:t>
                  </w:r>
                  <w:r>
                    <w:rPr>
                      <w:rFonts w:hint="eastAsia"/>
                      <w:color w:val="000000"/>
                      <w:sz w:val="21"/>
                      <w:szCs w:val="21"/>
                    </w:rPr>
                    <w:t>”</w:t>
                  </w:r>
                  <w:r>
                    <w:rPr>
                      <w:color w:val="000000"/>
                      <w:sz w:val="21"/>
                      <w:szCs w:val="21"/>
                    </w:rPr>
                    <w:t>原则，总量来源原则上应是同一重点行业内的削减量，当同一重点行业无法满足时可从其他重点行业调剂。</w:t>
                  </w:r>
                </w:p>
                <w:p w14:paraId="0DBDE41A">
                  <w:pPr>
                    <w:adjustRightInd w:val="0"/>
                    <w:snapToGrid w:val="0"/>
                    <w:spacing w:line="340" w:lineRule="exact"/>
                    <w:ind w:firstLine="0" w:firstLineChars="0"/>
                    <w:jc w:val="left"/>
                    <w:rPr>
                      <w:color w:val="000000"/>
                      <w:sz w:val="21"/>
                      <w:szCs w:val="21"/>
                    </w:rPr>
                  </w:pPr>
                  <w:r>
                    <w:rPr>
                      <w:color w:val="000000"/>
                      <w:sz w:val="21"/>
                      <w:szCs w:val="21"/>
                    </w:rPr>
                    <w:t>6.每小时35（含）—65蒸吨燃煤锅炉和位于县级及以上城市建成区内保留的燃煤、燃油、燃生物质锅炉，原则上2024年底前必须全面实现超低排放。</w:t>
                  </w:r>
                </w:p>
                <w:p w14:paraId="22CED37A">
                  <w:pPr>
                    <w:adjustRightInd w:val="0"/>
                    <w:snapToGrid w:val="0"/>
                    <w:spacing w:line="340" w:lineRule="exact"/>
                    <w:ind w:firstLine="0" w:firstLineChars="0"/>
                    <w:jc w:val="left"/>
                    <w:rPr>
                      <w:color w:val="000000"/>
                      <w:sz w:val="21"/>
                      <w:szCs w:val="21"/>
                    </w:rPr>
                  </w:pPr>
                  <w:r>
                    <w:rPr>
                      <w:color w:val="000000"/>
                      <w:sz w:val="21"/>
                      <w:szCs w:val="21"/>
                    </w:rPr>
                    <w:t>7.水泥行业新改扩建项目严格对照超低排放、能效标杆水平建设实施；现有项目超低排放改造应按文件（闽环规〔2023〕2号）的时限要求分步推进，2025年底前全面完成</w:t>
                  </w:r>
                  <w:r>
                    <w:rPr>
                      <w:color w:val="000000"/>
                      <w:sz w:val="21"/>
                      <w:szCs w:val="21"/>
                      <w:vertAlign w:val="superscript"/>
                    </w:rPr>
                    <w:t>［3］［4］</w:t>
                  </w:r>
                  <w:r>
                    <w:rPr>
                      <w:color w:val="000000"/>
                      <w:sz w:val="21"/>
                      <w:szCs w:val="21"/>
                    </w:rPr>
                    <w:t>。</w:t>
                  </w:r>
                </w:p>
                <w:p w14:paraId="67C6405C">
                  <w:pPr>
                    <w:adjustRightInd w:val="0"/>
                    <w:snapToGrid w:val="0"/>
                    <w:spacing w:line="340" w:lineRule="exact"/>
                    <w:ind w:firstLine="0" w:firstLineChars="0"/>
                    <w:jc w:val="left"/>
                    <w:rPr>
                      <w:color w:val="000000"/>
                      <w:sz w:val="21"/>
                      <w:szCs w:val="21"/>
                    </w:rPr>
                  </w:pPr>
                  <w:r>
                    <w:rPr>
                      <w:color w:val="000000"/>
                      <w:sz w:val="21"/>
                      <w:szCs w:val="21"/>
                    </w:rPr>
                    <w:t>8.化工园区新建项目实施</w:t>
                  </w:r>
                  <w:r>
                    <w:rPr>
                      <w:rFonts w:hint="eastAsia"/>
                      <w:color w:val="000000"/>
                      <w:sz w:val="21"/>
                      <w:szCs w:val="21"/>
                    </w:rPr>
                    <w:t>“</w:t>
                  </w:r>
                  <w:r>
                    <w:rPr>
                      <w:color w:val="000000"/>
                      <w:sz w:val="21"/>
                      <w:szCs w:val="21"/>
                    </w:rPr>
                    <w:t>禁限控</w:t>
                  </w:r>
                  <w:r>
                    <w:rPr>
                      <w:rFonts w:hint="eastAsia"/>
                      <w:color w:val="000000"/>
                      <w:sz w:val="21"/>
                      <w:szCs w:val="21"/>
                    </w:rPr>
                    <w:t>”</w:t>
                  </w:r>
                  <w:r>
                    <w:rPr>
                      <w:color w:val="000000"/>
                      <w:sz w:val="21"/>
                      <w:szCs w:val="21"/>
                    </w:rPr>
                    <w:t>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888" w:type="pct"/>
                  <w:vAlign w:val="center"/>
                </w:tcPr>
                <w:p w14:paraId="50EB6631">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sz w:val="21"/>
                      <w:szCs w:val="21"/>
                    </w:rPr>
                  </w:pPr>
                  <w:r>
                    <w:rPr>
                      <w:color w:val="000000"/>
                      <w:sz w:val="21"/>
                      <w:szCs w:val="21"/>
                    </w:rPr>
                    <w:t>1.项目排放污染物不涉及水污染物化学需氧量、氨氮和大气污染物二氧化硫、氮氧化物；</w:t>
                  </w:r>
                </w:p>
                <w:p w14:paraId="0350C60D">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sz w:val="21"/>
                      <w:szCs w:val="21"/>
                    </w:rPr>
                  </w:pPr>
                  <w:r>
                    <w:rPr>
                      <w:color w:val="000000"/>
                      <w:sz w:val="21"/>
                      <w:szCs w:val="21"/>
                    </w:rPr>
                    <w:t>2.项目</w:t>
                  </w:r>
                  <w:r>
                    <w:rPr>
                      <w:rFonts w:hint="eastAsia"/>
                      <w:color w:val="000000"/>
                      <w:sz w:val="21"/>
                      <w:szCs w:val="21"/>
                    </w:rPr>
                    <w:t>不</w:t>
                  </w:r>
                  <w:r>
                    <w:rPr>
                      <w:color w:val="000000"/>
                      <w:sz w:val="21"/>
                      <w:szCs w:val="21"/>
                    </w:rPr>
                    <w:t>使用含VOCs的原辅材料。</w:t>
                  </w:r>
                </w:p>
                <w:p w14:paraId="32A8E0FC">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sz w:val="21"/>
                      <w:szCs w:val="21"/>
                    </w:rPr>
                  </w:pPr>
                  <w:r>
                    <w:rPr>
                      <w:color w:val="000000"/>
                      <w:sz w:val="21"/>
                      <w:szCs w:val="21"/>
                    </w:rPr>
                    <w:t>3.项目</w:t>
                  </w:r>
                  <w:r>
                    <w:rPr>
                      <w:rFonts w:hint="eastAsia"/>
                      <w:color w:val="000000"/>
                      <w:sz w:val="21"/>
                      <w:szCs w:val="21"/>
                    </w:rPr>
                    <w:t>废气排放满足《水泥工业大气污染物排放标准》（GB4915-2013）表2大气污染物特别排放限值要求（排放浓度≤10mg/m</w:t>
                  </w:r>
                  <w:r>
                    <w:rPr>
                      <w:rFonts w:hint="eastAsia"/>
                      <w:color w:val="000000"/>
                      <w:sz w:val="21"/>
                      <w:szCs w:val="21"/>
                      <w:vertAlign w:val="superscript"/>
                    </w:rPr>
                    <w:t>3</w:t>
                  </w:r>
                  <w:r>
                    <w:rPr>
                      <w:rFonts w:hint="eastAsia"/>
                      <w:color w:val="000000"/>
                      <w:sz w:val="21"/>
                      <w:szCs w:val="21"/>
                    </w:rPr>
                    <w:t>）。</w:t>
                  </w:r>
                </w:p>
                <w:p w14:paraId="356A3623">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sz w:val="21"/>
                      <w:szCs w:val="21"/>
                    </w:rPr>
                  </w:pPr>
                  <w:r>
                    <w:rPr>
                      <w:color w:val="000000"/>
                      <w:sz w:val="21"/>
                      <w:szCs w:val="21"/>
                    </w:rPr>
                    <w:t>4.项目不属于氟化工、印染、电镀等行业企业；</w:t>
                  </w:r>
                </w:p>
                <w:p w14:paraId="762CA573">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sz w:val="21"/>
                      <w:szCs w:val="21"/>
                    </w:rPr>
                  </w:pPr>
                  <w:r>
                    <w:rPr>
                      <w:color w:val="000000"/>
                      <w:sz w:val="21"/>
                      <w:szCs w:val="21"/>
                    </w:rPr>
                    <w:t>5.项目不属于重点行业，不涉及重点重金属污染物排放；</w:t>
                  </w:r>
                </w:p>
                <w:p w14:paraId="76B34BAA">
                  <w:pPr>
                    <w:widowControl/>
                    <w:snapToGrid w:val="0"/>
                    <w:spacing w:line="340" w:lineRule="exact"/>
                    <w:ind w:firstLine="0" w:firstLineChars="0"/>
                    <w:rPr>
                      <w:color w:val="000000"/>
                      <w:kern w:val="0"/>
                      <w:sz w:val="21"/>
                      <w:szCs w:val="21"/>
                    </w:rPr>
                  </w:pPr>
                  <w:r>
                    <w:rPr>
                      <w:color w:val="000000"/>
                      <w:kern w:val="0"/>
                      <w:sz w:val="21"/>
                      <w:szCs w:val="21"/>
                    </w:rPr>
                    <w:t>6.项目不涉及燃煤、燃油、燃生物质锅炉使用；</w:t>
                  </w:r>
                </w:p>
                <w:p w14:paraId="0343D09D">
                  <w:pPr>
                    <w:spacing w:line="340" w:lineRule="exact"/>
                    <w:ind w:firstLine="0" w:firstLineChars="0"/>
                    <w:rPr>
                      <w:color w:val="000000"/>
                      <w:sz w:val="21"/>
                      <w:szCs w:val="21"/>
                    </w:rPr>
                  </w:pPr>
                  <w:r>
                    <w:rPr>
                      <w:color w:val="000000"/>
                      <w:sz w:val="21"/>
                      <w:szCs w:val="21"/>
                    </w:rPr>
                    <w:t>7.项目</w:t>
                  </w:r>
                  <w:r>
                    <w:rPr>
                      <w:rFonts w:hint="eastAsia"/>
                      <w:color w:val="000000"/>
                      <w:sz w:val="21"/>
                      <w:szCs w:val="21"/>
                    </w:rPr>
                    <w:t>废气排放执行《水泥工业大气污染物排放标准》（GB4915-2013）表2大气污染物特别排放限值要求（排放浓度≤10mg/m</w:t>
                  </w:r>
                  <w:r>
                    <w:rPr>
                      <w:rFonts w:hint="eastAsia"/>
                      <w:color w:val="000000"/>
                      <w:sz w:val="21"/>
                      <w:szCs w:val="21"/>
                      <w:vertAlign w:val="superscript"/>
                    </w:rPr>
                    <w:t>3</w:t>
                  </w:r>
                  <w:r>
                    <w:rPr>
                      <w:rFonts w:hint="eastAsia"/>
                      <w:color w:val="000000"/>
                      <w:sz w:val="21"/>
                      <w:szCs w:val="21"/>
                    </w:rPr>
                    <w:t>）。</w:t>
                  </w:r>
                </w:p>
                <w:p w14:paraId="0E6DACFD">
                  <w:pPr>
                    <w:widowControl/>
                    <w:snapToGrid w:val="0"/>
                    <w:spacing w:line="340" w:lineRule="exact"/>
                    <w:ind w:firstLine="0" w:firstLineChars="0"/>
                    <w:rPr>
                      <w:color w:val="000000"/>
                      <w:kern w:val="0"/>
                      <w:sz w:val="21"/>
                      <w:szCs w:val="21"/>
                    </w:rPr>
                  </w:pPr>
                  <w:r>
                    <w:rPr>
                      <w:color w:val="000000"/>
                      <w:kern w:val="0"/>
                      <w:sz w:val="21"/>
                      <w:szCs w:val="21"/>
                    </w:rPr>
                    <w:t>8.项目不属于化工项目，选址不位于化工园区，不属于印染、皮革、农药、医药、涂料等行业。</w:t>
                  </w:r>
                </w:p>
              </w:tc>
              <w:tc>
                <w:tcPr>
                  <w:tcW w:w="223" w:type="pct"/>
                  <w:vAlign w:val="center"/>
                </w:tcPr>
                <w:p w14:paraId="343749BE">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r>
                    <w:rPr>
                      <w:color w:val="000000"/>
                      <w:sz w:val="21"/>
                      <w:szCs w:val="21"/>
                    </w:rPr>
                    <w:t>符合</w:t>
                  </w:r>
                </w:p>
              </w:tc>
            </w:tr>
            <w:tr w14:paraId="2FF62E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215" w:hRule="atLeast"/>
              </w:trPr>
              <w:tc>
                <w:tcPr>
                  <w:tcW w:w="217" w:type="pct"/>
                  <w:vMerge w:val="continue"/>
                  <w:vAlign w:val="center"/>
                </w:tcPr>
                <w:p w14:paraId="1F0466B3">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p>
              </w:tc>
              <w:tc>
                <w:tcPr>
                  <w:tcW w:w="309" w:type="pct"/>
                  <w:vAlign w:val="center"/>
                </w:tcPr>
                <w:p w14:paraId="71AC88B8">
                  <w:pPr>
                    <w:adjustRightInd w:val="0"/>
                    <w:snapToGrid w:val="0"/>
                    <w:spacing w:line="340" w:lineRule="exact"/>
                    <w:ind w:firstLine="0" w:firstLineChars="0"/>
                    <w:jc w:val="center"/>
                    <w:rPr>
                      <w:color w:val="000000"/>
                      <w:kern w:val="0"/>
                      <w:sz w:val="21"/>
                      <w:szCs w:val="21"/>
                    </w:rPr>
                  </w:pPr>
                  <w:r>
                    <w:rPr>
                      <w:color w:val="000000"/>
                      <w:kern w:val="0"/>
                      <w:sz w:val="21"/>
                      <w:szCs w:val="21"/>
                    </w:rPr>
                    <w:t>环境风险防控</w:t>
                  </w:r>
                </w:p>
              </w:tc>
              <w:tc>
                <w:tcPr>
                  <w:tcW w:w="3360" w:type="pct"/>
                  <w:vAlign w:val="center"/>
                </w:tcPr>
                <w:p w14:paraId="59DF7F8B">
                  <w:pPr>
                    <w:adjustRightInd w:val="0"/>
                    <w:snapToGrid w:val="0"/>
                    <w:spacing w:line="340" w:lineRule="exact"/>
                    <w:ind w:firstLine="420" w:firstLineChars="0"/>
                    <w:jc w:val="center"/>
                    <w:rPr>
                      <w:color w:val="000000"/>
                      <w:sz w:val="21"/>
                      <w:szCs w:val="21"/>
                    </w:rPr>
                  </w:pPr>
                  <w:r>
                    <w:rPr>
                      <w:color w:val="000000"/>
                      <w:sz w:val="21"/>
                      <w:szCs w:val="21"/>
                    </w:rPr>
                    <w:t>无</w:t>
                  </w:r>
                </w:p>
              </w:tc>
              <w:tc>
                <w:tcPr>
                  <w:tcW w:w="888" w:type="pct"/>
                  <w:vAlign w:val="center"/>
                </w:tcPr>
                <w:p w14:paraId="7081F425">
                  <w:pPr>
                    <w:widowControl/>
                    <w:snapToGrid w:val="0"/>
                    <w:spacing w:line="340" w:lineRule="exact"/>
                    <w:ind w:firstLine="420"/>
                    <w:jc w:val="center"/>
                    <w:rPr>
                      <w:color w:val="000000"/>
                      <w:kern w:val="0"/>
                      <w:sz w:val="21"/>
                      <w:szCs w:val="21"/>
                    </w:rPr>
                  </w:pPr>
                  <w:r>
                    <w:rPr>
                      <w:color w:val="000000"/>
                      <w:kern w:val="0"/>
                      <w:sz w:val="21"/>
                      <w:szCs w:val="21"/>
                    </w:rPr>
                    <w:t>/</w:t>
                  </w:r>
                </w:p>
              </w:tc>
              <w:tc>
                <w:tcPr>
                  <w:tcW w:w="223" w:type="pct"/>
                  <w:vAlign w:val="center"/>
                </w:tcPr>
                <w:p w14:paraId="2A63598C">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r>
                    <w:rPr>
                      <w:color w:val="000000"/>
                      <w:sz w:val="21"/>
                      <w:szCs w:val="21"/>
                    </w:rPr>
                    <w:t>/</w:t>
                  </w:r>
                </w:p>
              </w:tc>
            </w:tr>
            <w:tr w14:paraId="3F40D7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217" w:type="pct"/>
                  <w:vMerge w:val="continue"/>
                  <w:vAlign w:val="center"/>
                </w:tcPr>
                <w:p w14:paraId="78AA6240">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p>
              </w:tc>
              <w:tc>
                <w:tcPr>
                  <w:tcW w:w="309" w:type="pct"/>
                  <w:vAlign w:val="center"/>
                </w:tcPr>
                <w:p w14:paraId="230F4BCB">
                  <w:pPr>
                    <w:adjustRightInd w:val="0"/>
                    <w:snapToGrid w:val="0"/>
                    <w:spacing w:line="340" w:lineRule="exact"/>
                    <w:ind w:firstLine="0" w:firstLineChars="0"/>
                    <w:jc w:val="center"/>
                    <w:rPr>
                      <w:color w:val="000000"/>
                      <w:kern w:val="0"/>
                      <w:sz w:val="21"/>
                      <w:szCs w:val="21"/>
                    </w:rPr>
                  </w:pPr>
                  <w:r>
                    <w:rPr>
                      <w:color w:val="000000"/>
                      <w:kern w:val="0"/>
                      <w:sz w:val="21"/>
                      <w:szCs w:val="21"/>
                    </w:rPr>
                    <w:t>资源开发效率要求</w:t>
                  </w:r>
                </w:p>
              </w:tc>
              <w:tc>
                <w:tcPr>
                  <w:tcW w:w="3360" w:type="pct"/>
                  <w:vAlign w:val="center"/>
                </w:tcPr>
                <w:p w14:paraId="0522D65C">
                  <w:pPr>
                    <w:adjustRightInd w:val="0"/>
                    <w:snapToGrid w:val="0"/>
                    <w:spacing w:line="340" w:lineRule="exact"/>
                    <w:ind w:firstLine="0" w:firstLineChars="0"/>
                    <w:jc w:val="left"/>
                    <w:rPr>
                      <w:color w:val="000000"/>
                      <w:sz w:val="21"/>
                      <w:szCs w:val="21"/>
                    </w:rPr>
                  </w:pPr>
                  <w:r>
                    <w:rPr>
                      <w:color w:val="000000"/>
                      <w:sz w:val="21"/>
                      <w:szCs w:val="21"/>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w:t>
                  </w:r>
                </w:p>
                <w:p w14:paraId="7E81C721">
                  <w:pPr>
                    <w:adjustRightInd w:val="0"/>
                    <w:snapToGrid w:val="0"/>
                    <w:spacing w:line="340" w:lineRule="exact"/>
                    <w:ind w:firstLine="0" w:firstLineChars="0"/>
                    <w:jc w:val="left"/>
                    <w:rPr>
                      <w:color w:val="000000"/>
                      <w:sz w:val="21"/>
                      <w:szCs w:val="21"/>
                    </w:rPr>
                  </w:pPr>
                  <w:r>
                    <w:rPr>
                      <w:color w:val="000000"/>
                      <w:sz w:val="21"/>
                      <w:szCs w:val="21"/>
                    </w:rPr>
                    <w:t>2.按照</w:t>
                  </w:r>
                  <w:r>
                    <w:rPr>
                      <w:rFonts w:hint="eastAsia"/>
                      <w:color w:val="000000"/>
                      <w:sz w:val="21"/>
                      <w:szCs w:val="21"/>
                    </w:rPr>
                    <w:t>“</w:t>
                  </w:r>
                  <w:r>
                    <w:rPr>
                      <w:color w:val="000000"/>
                      <w:sz w:val="21"/>
                      <w:szCs w:val="21"/>
                    </w:rPr>
                    <w:t>提气、转电、控煤</w:t>
                  </w:r>
                  <w:r>
                    <w:rPr>
                      <w:rFonts w:hint="eastAsia"/>
                      <w:color w:val="000000"/>
                      <w:sz w:val="21"/>
                      <w:szCs w:val="21"/>
                    </w:rPr>
                    <w:t>”</w:t>
                  </w:r>
                  <w:r>
                    <w:rPr>
                      <w:color w:val="000000"/>
                      <w:sz w:val="21"/>
                      <w:szCs w:val="21"/>
                    </w:rPr>
                    <w:t>的发展思路，推动陶瓷行业进一步优化用能结构，实现能源消费清洁低碳化</w:t>
                  </w:r>
                </w:p>
              </w:tc>
              <w:tc>
                <w:tcPr>
                  <w:tcW w:w="888" w:type="pct"/>
                  <w:vAlign w:val="center"/>
                </w:tcPr>
                <w:p w14:paraId="33CD11A1">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sz w:val="21"/>
                      <w:szCs w:val="21"/>
                    </w:rPr>
                  </w:pPr>
                  <w:r>
                    <w:rPr>
                      <w:color w:val="000000"/>
                      <w:sz w:val="21"/>
                      <w:szCs w:val="21"/>
                    </w:rPr>
                    <w:t>1.项目不涉及燃煤、燃油、燃生物质等高污染燃料锅炉的使用；</w:t>
                  </w:r>
                </w:p>
                <w:p w14:paraId="399DF4DF">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left"/>
                    <w:rPr>
                      <w:color w:val="000000"/>
                      <w:sz w:val="21"/>
                      <w:szCs w:val="21"/>
                    </w:rPr>
                  </w:pPr>
                  <w:r>
                    <w:rPr>
                      <w:color w:val="000000"/>
                      <w:sz w:val="21"/>
                      <w:szCs w:val="21"/>
                    </w:rPr>
                    <w:t>2.项目不属于陶瓷行业。</w:t>
                  </w:r>
                </w:p>
              </w:tc>
              <w:tc>
                <w:tcPr>
                  <w:tcW w:w="223" w:type="pct"/>
                  <w:vAlign w:val="center"/>
                </w:tcPr>
                <w:p w14:paraId="7AB3C2D1">
                  <w:pPr>
                    <w:pBdr>
                      <w:top w:val="none" w:color="auto" w:sz="0" w:space="1"/>
                      <w:left w:val="none" w:color="auto" w:sz="0" w:space="4"/>
                      <w:bottom w:val="none" w:color="auto" w:sz="0" w:space="1"/>
                      <w:right w:val="none" w:color="auto" w:sz="0" w:space="4"/>
                    </w:pBdr>
                    <w:adjustRightInd w:val="0"/>
                    <w:snapToGrid w:val="0"/>
                    <w:spacing w:line="340" w:lineRule="exact"/>
                    <w:ind w:firstLine="0" w:firstLineChars="0"/>
                    <w:jc w:val="center"/>
                    <w:rPr>
                      <w:color w:val="000000"/>
                      <w:sz w:val="21"/>
                      <w:szCs w:val="21"/>
                    </w:rPr>
                  </w:pPr>
                  <w:r>
                    <w:rPr>
                      <w:color w:val="000000"/>
                      <w:sz w:val="21"/>
                      <w:szCs w:val="21"/>
                    </w:rPr>
                    <w:t>符合</w:t>
                  </w:r>
                </w:p>
              </w:tc>
            </w:tr>
            <w:tr w14:paraId="64ED58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232" w:hRule="atLeast"/>
              </w:trPr>
              <w:tc>
                <w:tcPr>
                  <w:tcW w:w="5000" w:type="pct"/>
                  <w:gridSpan w:val="5"/>
                  <w:vAlign w:val="center"/>
                </w:tcPr>
                <w:p w14:paraId="5BDDA6E1">
                  <w:pPr>
                    <w:adjustRightInd w:val="0"/>
                    <w:snapToGrid w:val="0"/>
                    <w:spacing w:line="240" w:lineRule="auto"/>
                    <w:ind w:firstLine="0" w:firstLineChars="0"/>
                    <w:jc w:val="left"/>
                    <w:rPr>
                      <w:color w:val="000000"/>
                      <w:sz w:val="21"/>
                      <w:szCs w:val="21"/>
                    </w:rPr>
                  </w:pPr>
                  <w:r>
                    <w:rPr>
                      <w:color w:val="000000"/>
                      <w:sz w:val="21"/>
                      <w:szCs w:val="21"/>
                    </w:rPr>
                    <w:t xml:space="preserve">备注：［1］重点重金属污染物：包括铅、汞、镉、铬、砷、铊和锑，对其中铅、汞、镉、铬和砷五种重点重金属污染物排放量实施总量控制。 </w:t>
                  </w:r>
                </w:p>
                <w:p w14:paraId="536A3511">
                  <w:pPr>
                    <w:adjustRightInd w:val="0"/>
                    <w:snapToGrid w:val="0"/>
                    <w:spacing w:line="240" w:lineRule="auto"/>
                    <w:ind w:firstLine="630" w:firstLineChars="300"/>
                    <w:jc w:val="left"/>
                    <w:rPr>
                      <w:color w:val="000000"/>
                      <w:sz w:val="21"/>
                      <w:szCs w:val="21"/>
                    </w:rPr>
                  </w:pPr>
                  <w:r>
                    <w:rPr>
                      <w:color w:val="000000"/>
                      <w:sz w:val="21"/>
                      <w:szCs w:val="21"/>
                    </w:rPr>
                    <w:t xml:space="preserve">［2］重点行业：包括涉重有色金属矿采选业（铜、铅锌、镍钴、锡、锑和汞矿采选），涉重有色金属冶炼业（铜、铅锌、镍钴、锡、锑和汞冶炼），铅蓄电池制造业，电镀行业，化学原料及化学制品制造业（电石法（聚）氯乙烯制造、铬盐制造、以工业固体废物为原料的锌无机化合物工业），皮革鞣制加工业等6个行业。 </w:t>
                  </w:r>
                </w:p>
                <w:p w14:paraId="03C85C27">
                  <w:pPr>
                    <w:adjustRightInd w:val="0"/>
                    <w:snapToGrid w:val="0"/>
                    <w:spacing w:line="240" w:lineRule="auto"/>
                    <w:ind w:firstLine="630" w:firstLineChars="300"/>
                    <w:jc w:val="left"/>
                    <w:rPr>
                      <w:color w:val="000000"/>
                      <w:sz w:val="21"/>
                      <w:szCs w:val="21"/>
                    </w:rPr>
                  </w:pPr>
                  <w:r>
                    <w:rPr>
                      <w:color w:val="000000"/>
                      <w:sz w:val="21"/>
                      <w:szCs w:val="21"/>
                    </w:rPr>
                    <w:t xml:space="preserve">［3］水泥行业超低排放实施范围：包括水泥熟料生产企业和独立水泥粉磨站（含生产特种水泥、协同处置固废的水泥企业）。 </w:t>
                  </w:r>
                </w:p>
                <w:p w14:paraId="7E6A202F">
                  <w:pPr>
                    <w:pBdr>
                      <w:top w:val="none" w:color="auto" w:sz="0" w:space="1"/>
                      <w:left w:val="none" w:color="auto" w:sz="0" w:space="4"/>
                      <w:bottom w:val="none" w:color="auto" w:sz="0" w:space="1"/>
                      <w:right w:val="none" w:color="auto" w:sz="0" w:space="4"/>
                    </w:pBdr>
                    <w:adjustRightInd w:val="0"/>
                    <w:snapToGrid w:val="0"/>
                    <w:spacing w:line="240" w:lineRule="auto"/>
                    <w:ind w:firstLine="0" w:firstLineChars="0"/>
                    <w:jc w:val="left"/>
                    <w:rPr>
                      <w:color w:val="000000"/>
                      <w:sz w:val="21"/>
                      <w:szCs w:val="21"/>
                    </w:rPr>
                  </w:pPr>
                  <w:r>
                    <w:rPr>
                      <w:color w:val="000000"/>
                      <w:sz w:val="21"/>
                      <w:szCs w:val="21"/>
                    </w:rPr>
                    <w:t xml:space="preserve">      ［4］水泥企业超低排放：是指所有生产环节（破碎、粉磨、配料、熟料煅烧、烘干、协同处置等，以及原料、燃料和产品储存运输）的大气污染物有组织、无组织排放及运输过程达到超低排放要求。</w:t>
                  </w:r>
                </w:p>
              </w:tc>
            </w:tr>
          </w:tbl>
          <w:p w14:paraId="108CCB31">
            <w:pPr>
              <w:pStyle w:val="146"/>
              <w:spacing w:before="120"/>
            </w:pPr>
            <w:r>
              <w:t>表1</w:t>
            </w:r>
            <w:r>
              <w:rPr>
                <w:rFonts w:hint="eastAsia"/>
              </w:rPr>
              <w:t>.6</w:t>
            </w:r>
            <w:r>
              <w:t>-</w:t>
            </w:r>
            <w:r>
              <w:rPr>
                <w:rFonts w:hint="eastAsia"/>
              </w:rPr>
              <w:t>2</w:t>
            </w:r>
            <w:r>
              <w:t xml:space="preserve"> 与环境管控单元准入要求符合性分析</w:t>
            </w:r>
          </w:p>
          <w:tbl>
            <w:tblPr>
              <w:tblStyle w:val="31"/>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159"/>
              <w:gridCol w:w="968"/>
              <w:gridCol w:w="1081"/>
              <w:gridCol w:w="4114"/>
              <w:gridCol w:w="3747"/>
              <w:gridCol w:w="920"/>
            </w:tblGrid>
            <w:tr w14:paraId="6C4B9C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tcBorders>
                    <w:tl2br w:val="nil"/>
                    <w:tr2bl w:val="nil"/>
                  </w:tcBorders>
                  <w:vAlign w:val="center"/>
                </w:tcPr>
                <w:p w14:paraId="42ED033B">
                  <w:pPr>
                    <w:widowControl/>
                    <w:snapToGrid w:val="0"/>
                    <w:spacing w:line="240" w:lineRule="auto"/>
                    <w:ind w:firstLine="0" w:firstLineChars="0"/>
                    <w:jc w:val="center"/>
                    <w:rPr>
                      <w:b/>
                      <w:bCs/>
                      <w:color w:val="000000"/>
                      <w:kern w:val="0"/>
                      <w:sz w:val="21"/>
                      <w:szCs w:val="21"/>
                    </w:rPr>
                  </w:pPr>
                  <w:r>
                    <w:rPr>
                      <w:b/>
                      <w:bCs/>
                      <w:color w:val="000000"/>
                      <w:kern w:val="0"/>
                      <w:sz w:val="21"/>
                      <w:szCs w:val="21"/>
                    </w:rPr>
                    <w:t>环境管控</w:t>
                  </w:r>
                </w:p>
                <w:p w14:paraId="1BDD355E">
                  <w:pPr>
                    <w:widowControl/>
                    <w:snapToGrid w:val="0"/>
                    <w:spacing w:line="240" w:lineRule="auto"/>
                    <w:ind w:firstLine="0" w:firstLineChars="0"/>
                    <w:jc w:val="center"/>
                    <w:rPr>
                      <w:b/>
                      <w:bCs/>
                      <w:color w:val="000000"/>
                      <w:kern w:val="0"/>
                      <w:sz w:val="21"/>
                      <w:szCs w:val="21"/>
                    </w:rPr>
                  </w:pPr>
                  <w:r>
                    <w:rPr>
                      <w:b/>
                      <w:bCs/>
                      <w:color w:val="000000"/>
                      <w:kern w:val="0"/>
                      <w:sz w:val="21"/>
                      <w:szCs w:val="21"/>
                    </w:rPr>
                    <w:t>单元编码</w:t>
                  </w:r>
                </w:p>
              </w:tc>
              <w:tc>
                <w:tcPr>
                  <w:tcW w:w="439" w:type="pct"/>
                  <w:tcBorders>
                    <w:tl2br w:val="nil"/>
                    <w:tr2bl w:val="nil"/>
                  </w:tcBorders>
                  <w:vAlign w:val="center"/>
                </w:tcPr>
                <w:p w14:paraId="4900EEBA">
                  <w:pPr>
                    <w:widowControl/>
                    <w:snapToGrid w:val="0"/>
                    <w:spacing w:line="240" w:lineRule="auto"/>
                    <w:ind w:firstLine="0" w:firstLineChars="0"/>
                    <w:jc w:val="center"/>
                    <w:rPr>
                      <w:b/>
                      <w:bCs/>
                      <w:color w:val="000000"/>
                      <w:kern w:val="0"/>
                      <w:sz w:val="21"/>
                      <w:szCs w:val="21"/>
                    </w:rPr>
                  </w:pPr>
                  <w:r>
                    <w:rPr>
                      <w:b/>
                      <w:bCs/>
                      <w:color w:val="000000"/>
                      <w:kern w:val="0"/>
                      <w:sz w:val="21"/>
                      <w:szCs w:val="21"/>
                    </w:rPr>
                    <w:t>环境管控单元名称</w:t>
                  </w:r>
                </w:p>
              </w:tc>
              <w:tc>
                <w:tcPr>
                  <w:tcW w:w="367" w:type="pct"/>
                  <w:tcBorders>
                    <w:tl2br w:val="nil"/>
                    <w:tr2bl w:val="nil"/>
                  </w:tcBorders>
                  <w:vAlign w:val="center"/>
                </w:tcPr>
                <w:p w14:paraId="397AEE93">
                  <w:pPr>
                    <w:widowControl/>
                    <w:snapToGrid w:val="0"/>
                    <w:spacing w:line="240" w:lineRule="auto"/>
                    <w:ind w:firstLine="0" w:firstLineChars="0"/>
                    <w:jc w:val="center"/>
                    <w:rPr>
                      <w:b/>
                      <w:bCs/>
                      <w:color w:val="000000"/>
                      <w:kern w:val="0"/>
                      <w:sz w:val="21"/>
                      <w:szCs w:val="21"/>
                    </w:rPr>
                  </w:pPr>
                  <w:r>
                    <w:rPr>
                      <w:b/>
                      <w:bCs/>
                      <w:color w:val="000000"/>
                      <w:kern w:val="0"/>
                      <w:sz w:val="21"/>
                      <w:szCs w:val="21"/>
                    </w:rPr>
                    <w:t>管控单元分类</w:t>
                  </w:r>
                </w:p>
              </w:tc>
              <w:tc>
                <w:tcPr>
                  <w:tcW w:w="1969" w:type="pct"/>
                  <w:gridSpan w:val="2"/>
                  <w:tcBorders>
                    <w:tl2br w:val="nil"/>
                    <w:tr2bl w:val="nil"/>
                  </w:tcBorders>
                  <w:vAlign w:val="center"/>
                </w:tcPr>
                <w:p w14:paraId="4AAE70D0">
                  <w:pPr>
                    <w:widowControl/>
                    <w:snapToGrid w:val="0"/>
                    <w:spacing w:line="240" w:lineRule="auto"/>
                    <w:ind w:firstLine="0" w:firstLineChars="0"/>
                    <w:jc w:val="center"/>
                    <w:rPr>
                      <w:b/>
                      <w:bCs/>
                      <w:color w:val="000000"/>
                      <w:kern w:val="0"/>
                      <w:sz w:val="21"/>
                      <w:szCs w:val="21"/>
                    </w:rPr>
                  </w:pPr>
                  <w:r>
                    <w:rPr>
                      <w:b/>
                      <w:bCs/>
                      <w:color w:val="000000"/>
                      <w:kern w:val="0"/>
                      <w:sz w:val="21"/>
                      <w:szCs w:val="21"/>
                    </w:rPr>
                    <w:t>管控要求</w:t>
                  </w:r>
                </w:p>
              </w:tc>
              <w:tc>
                <w:tcPr>
                  <w:tcW w:w="1420" w:type="pct"/>
                  <w:tcBorders>
                    <w:tl2br w:val="nil"/>
                    <w:tr2bl w:val="nil"/>
                  </w:tcBorders>
                  <w:vAlign w:val="center"/>
                </w:tcPr>
                <w:p w14:paraId="52C8FD8C">
                  <w:pPr>
                    <w:widowControl/>
                    <w:snapToGrid w:val="0"/>
                    <w:spacing w:line="240" w:lineRule="auto"/>
                    <w:ind w:firstLine="0" w:firstLineChars="0"/>
                    <w:jc w:val="center"/>
                    <w:rPr>
                      <w:b/>
                      <w:bCs/>
                      <w:color w:val="000000"/>
                      <w:kern w:val="0"/>
                      <w:sz w:val="21"/>
                      <w:szCs w:val="21"/>
                    </w:rPr>
                  </w:pPr>
                  <w:r>
                    <w:rPr>
                      <w:b/>
                      <w:bCs/>
                      <w:color w:val="000000"/>
                      <w:kern w:val="0"/>
                      <w:sz w:val="21"/>
                      <w:szCs w:val="21"/>
                    </w:rPr>
                    <w:t>本项目</w:t>
                  </w:r>
                </w:p>
              </w:tc>
              <w:tc>
                <w:tcPr>
                  <w:tcW w:w="349" w:type="pct"/>
                  <w:tcBorders>
                    <w:tl2br w:val="nil"/>
                    <w:tr2bl w:val="nil"/>
                  </w:tcBorders>
                  <w:vAlign w:val="center"/>
                </w:tcPr>
                <w:p w14:paraId="09413490">
                  <w:pPr>
                    <w:widowControl/>
                    <w:snapToGrid w:val="0"/>
                    <w:spacing w:line="240" w:lineRule="auto"/>
                    <w:ind w:firstLine="0" w:firstLineChars="0"/>
                    <w:jc w:val="center"/>
                    <w:rPr>
                      <w:b/>
                      <w:bCs/>
                      <w:color w:val="000000"/>
                      <w:kern w:val="0"/>
                      <w:sz w:val="21"/>
                      <w:szCs w:val="21"/>
                    </w:rPr>
                  </w:pPr>
                  <w:r>
                    <w:rPr>
                      <w:b/>
                      <w:bCs/>
                      <w:color w:val="000000"/>
                      <w:kern w:val="0"/>
                      <w:sz w:val="21"/>
                      <w:szCs w:val="21"/>
                    </w:rPr>
                    <w:t>符合性</w:t>
                  </w:r>
                </w:p>
              </w:tc>
            </w:tr>
            <w:tr w14:paraId="5CC91E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8" w:hRule="atLeast"/>
              </w:trPr>
              <w:tc>
                <w:tcPr>
                  <w:tcW w:w="453" w:type="pct"/>
                  <w:vMerge w:val="restart"/>
                  <w:tcBorders>
                    <w:tl2br w:val="nil"/>
                    <w:tr2bl w:val="nil"/>
                  </w:tcBorders>
                  <w:vAlign w:val="center"/>
                </w:tcPr>
                <w:p w14:paraId="67130778">
                  <w:pPr>
                    <w:widowControl/>
                    <w:snapToGrid w:val="0"/>
                    <w:spacing w:line="240" w:lineRule="auto"/>
                    <w:ind w:firstLine="0" w:firstLineChars="0"/>
                    <w:jc w:val="center"/>
                    <w:rPr>
                      <w:color w:val="000000"/>
                      <w:kern w:val="0"/>
                      <w:sz w:val="21"/>
                      <w:szCs w:val="21"/>
                    </w:rPr>
                  </w:pPr>
                  <w:r>
                    <w:rPr>
                      <w:color w:val="000000"/>
                      <w:kern w:val="0"/>
                      <w:sz w:val="21"/>
                      <w:szCs w:val="21"/>
                    </w:rPr>
                    <w:t>ZH35012120005</w:t>
                  </w:r>
                </w:p>
              </w:tc>
              <w:tc>
                <w:tcPr>
                  <w:tcW w:w="439" w:type="pct"/>
                  <w:vMerge w:val="restart"/>
                  <w:tcBorders>
                    <w:tl2br w:val="nil"/>
                    <w:tr2bl w:val="nil"/>
                  </w:tcBorders>
                  <w:vAlign w:val="center"/>
                </w:tcPr>
                <w:p w14:paraId="5041DE6D">
                  <w:pPr>
                    <w:widowControl/>
                    <w:snapToGrid w:val="0"/>
                    <w:spacing w:line="240" w:lineRule="auto"/>
                    <w:ind w:firstLine="0" w:firstLineChars="0"/>
                    <w:jc w:val="center"/>
                    <w:rPr>
                      <w:color w:val="000000"/>
                      <w:kern w:val="0"/>
                      <w:sz w:val="21"/>
                      <w:szCs w:val="21"/>
                    </w:rPr>
                  </w:pPr>
                  <w:r>
                    <w:rPr>
                      <w:color w:val="000000"/>
                      <w:kern w:val="0"/>
                      <w:sz w:val="21"/>
                      <w:szCs w:val="21"/>
                    </w:rPr>
                    <w:t>闽侯县重点管控单元3</w:t>
                  </w:r>
                </w:p>
              </w:tc>
              <w:tc>
                <w:tcPr>
                  <w:tcW w:w="367" w:type="pct"/>
                  <w:vMerge w:val="restart"/>
                  <w:tcBorders>
                    <w:tl2br w:val="nil"/>
                    <w:tr2bl w:val="nil"/>
                  </w:tcBorders>
                  <w:vAlign w:val="center"/>
                </w:tcPr>
                <w:p w14:paraId="4573D586">
                  <w:pPr>
                    <w:widowControl/>
                    <w:snapToGrid w:val="0"/>
                    <w:spacing w:line="240" w:lineRule="auto"/>
                    <w:ind w:firstLine="0" w:firstLineChars="0"/>
                    <w:jc w:val="center"/>
                    <w:rPr>
                      <w:color w:val="000000"/>
                      <w:kern w:val="0"/>
                      <w:sz w:val="21"/>
                      <w:szCs w:val="21"/>
                    </w:rPr>
                  </w:pPr>
                  <w:r>
                    <w:rPr>
                      <w:color w:val="000000"/>
                      <w:kern w:val="0"/>
                      <w:sz w:val="21"/>
                      <w:szCs w:val="21"/>
                    </w:rPr>
                    <w:t>重点管控单元</w:t>
                  </w:r>
                </w:p>
              </w:tc>
              <w:tc>
                <w:tcPr>
                  <w:tcW w:w="410" w:type="pct"/>
                  <w:tcBorders>
                    <w:tl2br w:val="nil"/>
                    <w:tr2bl w:val="nil"/>
                  </w:tcBorders>
                  <w:vAlign w:val="center"/>
                </w:tcPr>
                <w:p w14:paraId="3B69257E">
                  <w:pPr>
                    <w:widowControl/>
                    <w:snapToGrid w:val="0"/>
                    <w:spacing w:line="240" w:lineRule="auto"/>
                    <w:ind w:firstLine="0" w:firstLineChars="0"/>
                    <w:jc w:val="center"/>
                    <w:rPr>
                      <w:color w:val="000000"/>
                      <w:kern w:val="0"/>
                      <w:sz w:val="21"/>
                      <w:szCs w:val="21"/>
                    </w:rPr>
                  </w:pPr>
                  <w:r>
                    <w:rPr>
                      <w:color w:val="000000"/>
                      <w:kern w:val="0"/>
                      <w:sz w:val="21"/>
                      <w:szCs w:val="21"/>
                    </w:rPr>
                    <w:t>空间</w:t>
                  </w:r>
                </w:p>
                <w:p w14:paraId="1346C09B">
                  <w:pPr>
                    <w:widowControl/>
                    <w:snapToGrid w:val="0"/>
                    <w:spacing w:line="240" w:lineRule="auto"/>
                    <w:ind w:firstLine="0" w:firstLineChars="0"/>
                    <w:jc w:val="center"/>
                    <w:rPr>
                      <w:color w:val="000000"/>
                      <w:kern w:val="0"/>
                      <w:sz w:val="21"/>
                      <w:szCs w:val="21"/>
                    </w:rPr>
                  </w:pPr>
                  <w:r>
                    <w:rPr>
                      <w:color w:val="000000"/>
                      <w:kern w:val="0"/>
                      <w:sz w:val="21"/>
                      <w:szCs w:val="21"/>
                    </w:rPr>
                    <w:t>布局</w:t>
                  </w:r>
                </w:p>
                <w:p w14:paraId="46811912">
                  <w:pPr>
                    <w:widowControl/>
                    <w:snapToGrid w:val="0"/>
                    <w:spacing w:line="240" w:lineRule="auto"/>
                    <w:ind w:firstLine="0" w:firstLineChars="0"/>
                    <w:jc w:val="center"/>
                    <w:rPr>
                      <w:color w:val="000000"/>
                      <w:kern w:val="0"/>
                      <w:sz w:val="21"/>
                      <w:szCs w:val="21"/>
                    </w:rPr>
                  </w:pPr>
                  <w:r>
                    <w:rPr>
                      <w:color w:val="000000"/>
                      <w:kern w:val="0"/>
                      <w:sz w:val="21"/>
                      <w:szCs w:val="21"/>
                    </w:rPr>
                    <w:t>约束</w:t>
                  </w:r>
                </w:p>
              </w:tc>
              <w:tc>
                <w:tcPr>
                  <w:tcW w:w="1559" w:type="pct"/>
                  <w:tcBorders>
                    <w:tl2br w:val="nil"/>
                    <w:tr2bl w:val="nil"/>
                  </w:tcBorders>
                  <w:vAlign w:val="center"/>
                </w:tcPr>
                <w:p w14:paraId="1748E951">
                  <w:pPr>
                    <w:adjustRightInd w:val="0"/>
                    <w:snapToGrid w:val="0"/>
                    <w:spacing w:line="240" w:lineRule="auto"/>
                    <w:ind w:firstLine="0" w:firstLineChars="0"/>
                    <w:rPr>
                      <w:iCs/>
                      <w:color w:val="000000"/>
                      <w:kern w:val="0"/>
                      <w:sz w:val="21"/>
                      <w:szCs w:val="21"/>
                    </w:rPr>
                  </w:pPr>
                  <w:r>
                    <w:rPr>
                      <w:iCs/>
                      <w:color w:val="000000"/>
                      <w:kern w:val="0"/>
                      <w:sz w:val="21"/>
                      <w:szCs w:val="21"/>
                    </w:rPr>
                    <w:t>1.严禁在城镇人口密集区新建危险化学品生产企业；现有不符合安全和卫生防护距离要求的危险化学品生产企业2025年底前完成就地改造达标、搬迁进入规范化工园区或关闭退出。城市建成区内现有化工等污染较重的企业应有序搬迁改造或依法关闭。</w:t>
                  </w:r>
                </w:p>
                <w:p w14:paraId="11A049C1">
                  <w:pPr>
                    <w:adjustRightInd w:val="0"/>
                    <w:snapToGrid w:val="0"/>
                    <w:spacing w:line="240" w:lineRule="auto"/>
                    <w:ind w:firstLine="0" w:firstLineChars="0"/>
                    <w:rPr>
                      <w:iCs/>
                      <w:color w:val="000000"/>
                      <w:kern w:val="0"/>
                      <w:sz w:val="21"/>
                      <w:szCs w:val="21"/>
                    </w:rPr>
                  </w:pPr>
                  <w:r>
                    <w:rPr>
                      <w:iCs/>
                      <w:color w:val="000000"/>
                      <w:kern w:val="0"/>
                      <w:sz w:val="21"/>
                      <w:szCs w:val="21"/>
                    </w:rPr>
                    <w:t>2.禁止在通风廊道和主导风向的上风向布局大气重污染企业。严格控制包装印刷、工业涂装、制鞋等高VOCs排放的项目建设，相关新建项目必须进入工业园区。</w:t>
                  </w:r>
                </w:p>
                <w:p w14:paraId="5A50F7BB">
                  <w:pPr>
                    <w:adjustRightInd w:val="0"/>
                    <w:snapToGrid w:val="0"/>
                    <w:spacing w:line="240" w:lineRule="auto"/>
                    <w:ind w:firstLine="0" w:firstLineChars="0"/>
                    <w:rPr>
                      <w:color w:val="000000"/>
                      <w:sz w:val="21"/>
                      <w:szCs w:val="21"/>
                    </w:rPr>
                  </w:pPr>
                  <w:r>
                    <w:rPr>
                      <w:iCs/>
                      <w:color w:val="000000"/>
                      <w:kern w:val="0"/>
                      <w:sz w:val="21"/>
                      <w:szCs w:val="21"/>
                    </w:rPr>
                    <w:t>3.禁止开发利用未经评估和无害化处理的列入建设用地污染地块名录及开发利用负面清单的土地。</w:t>
                  </w:r>
                </w:p>
              </w:tc>
              <w:tc>
                <w:tcPr>
                  <w:tcW w:w="1420" w:type="pct"/>
                  <w:tcBorders>
                    <w:tl2br w:val="nil"/>
                    <w:tr2bl w:val="nil"/>
                  </w:tcBorders>
                  <w:vAlign w:val="center"/>
                </w:tcPr>
                <w:p w14:paraId="62F7DE4B">
                  <w:pPr>
                    <w:adjustRightInd w:val="0"/>
                    <w:snapToGrid w:val="0"/>
                    <w:spacing w:line="240" w:lineRule="auto"/>
                    <w:ind w:firstLine="0" w:firstLineChars="0"/>
                    <w:rPr>
                      <w:iCs/>
                      <w:color w:val="000000"/>
                      <w:kern w:val="0"/>
                      <w:sz w:val="21"/>
                      <w:szCs w:val="21"/>
                    </w:rPr>
                  </w:pPr>
                  <w:r>
                    <w:rPr>
                      <w:iCs/>
                      <w:color w:val="000000"/>
                      <w:kern w:val="0"/>
                      <w:sz w:val="21"/>
                      <w:szCs w:val="21"/>
                    </w:rPr>
                    <w:t>1.项目不</w:t>
                  </w:r>
                  <w:r>
                    <w:rPr>
                      <w:rFonts w:hint="eastAsia"/>
                      <w:iCs/>
                      <w:color w:val="000000"/>
                      <w:kern w:val="0"/>
                      <w:sz w:val="21"/>
                      <w:szCs w:val="21"/>
                    </w:rPr>
                    <w:t>属于新建危险化学品生产企业</w:t>
                  </w:r>
                  <w:r>
                    <w:rPr>
                      <w:iCs/>
                      <w:color w:val="000000"/>
                      <w:kern w:val="0"/>
                      <w:sz w:val="21"/>
                      <w:szCs w:val="21"/>
                    </w:rPr>
                    <w:t>；项目位于福建省福州市闽侯县甘蔗街道陈店湖路18号</w:t>
                  </w:r>
                  <w:r>
                    <w:rPr>
                      <w:rFonts w:hint="eastAsia"/>
                      <w:iCs/>
                      <w:color w:val="000000"/>
                      <w:kern w:val="0"/>
                      <w:sz w:val="21"/>
                      <w:szCs w:val="21"/>
                    </w:rPr>
                    <w:t>，</w:t>
                  </w:r>
                  <w:r>
                    <w:rPr>
                      <w:iCs/>
                      <w:color w:val="000000"/>
                      <w:kern w:val="0"/>
                      <w:sz w:val="21"/>
                      <w:szCs w:val="21"/>
                    </w:rPr>
                    <w:t>根据</w:t>
                  </w:r>
                  <w:r>
                    <w:rPr>
                      <w:rFonts w:hint="eastAsia"/>
                      <w:iCs/>
                      <w:color w:val="000000"/>
                      <w:kern w:val="0"/>
                      <w:sz w:val="21"/>
                      <w:szCs w:val="21"/>
                    </w:rPr>
                    <w:t>项目用地不动产权证</w:t>
                  </w:r>
                  <w:r>
                    <w:rPr>
                      <w:iCs/>
                      <w:color w:val="000000"/>
                      <w:kern w:val="0"/>
                      <w:sz w:val="21"/>
                      <w:szCs w:val="21"/>
                    </w:rPr>
                    <w:t>（详见附件</w:t>
                  </w:r>
                  <w:r>
                    <w:rPr>
                      <w:rFonts w:hint="eastAsia"/>
                      <w:iCs/>
                      <w:color w:val="000000"/>
                      <w:kern w:val="0"/>
                      <w:sz w:val="21"/>
                      <w:szCs w:val="21"/>
                    </w:rPr>
                    <w:t>4</w:t>
                  </w:r>
                  <w:r>
                    <w:rPr>
                      <w:iCs/>
                      <w:color w:val="000000"/>
                      <w:kern w:val="0"/>
                      <w:sz w:val="21"/>
                      <w:szCs w:val="21"/>
                    </w:rPr>
                    <w:t>），用地性质为工业用地，主要从事干粉砂浆拌合生产，不属于限制引入产业，与《闽侯经济技术开发区规划提升（控制性详细规划和城市设计）》园区产业发展定位的制造产业不冲突，符合要求。</w:t>
                  </w:r>
                  <w:r>
                    <w:rPr>
                      <w:sz w:val="21"/>
                      <w:szCs w:val="21"/>
                    </w:rPr>
                    <w:t>项目位于</w:t>
                  </w:r>
                  <w:r>
                    <w:rPr>
                      <w:rFonts w:hint="eastAsia"/>
                      <w:sz w:val="21"/>
                      <w:szCs w:val="21"/>
                    </w:rPr>
                    <w:t>陈店湖</w:t>
                  </w:r>
                  <w:r>
                    <w:rPr>
                      <w:sz w:val="21"/>
                      <w:szCs w:val="21"/>
                    </w:rPr>
                    <w:t>工业园区内，周边多为工业企业，项目</w:t>
                  </w:r>
                  <w:r>
                    <w:rPr>
                      <w:rFonts w:hint="eastAsia"/>
                      <w:sz w:val="21"/>
                      <w:szCs w:val="21"/>
                      <w:lang w:val="en-US" w:eastAsia="zh-CN"/>
                    </w:rPr>
                    <w:t>排放</w:t>
                  </w:r>
                  <w:r>
                    <w:rPr>
                      <w:sz w:val="21"/>
                      <w:szCs w:val="21"/>
                    </w:rPr>
                    <w:t>废气</w:t>
                  </w:r>
                  <w:r>
                    <w:rPr>
                      <w:rFonts w:hint="eastAsia"/>
                      <w:sz w:val="21"/>
                      <w:szCs w:val="21"/>
                      <w:lang w:val="en-US" w:eastAsia="zh-CN"/>
                    </w:rPr>
                    <w:t>污染物为颗粒物，</w:t>
                  </w:r>
                  <w:r>
                    <w:rPr>
                      <w:sz w:val="21"/>
                      <w:szCs w:val="21"/>
                    </w:rPr>
                    <w:t>经处理后可达标排放，排放量小，对周边大气环境影响较小</w:t>
                  </w:r>
                  <w:r>
                    <w:rPr>
                      <w:rFonts w:hint="eastAsia"/>
                      <w:sz w:val="21"/>
                      <w:szCs w:val="21"/>
                    </w:rPr>
                    <w:t>，且</w:t>
                  </w:r>
                  <w:r>
                    <w:rPr>
                      <w:sz w:val="21"/>
                      <w:szCs w:val="21"/>
                    </w:rPr>
                    <w:t>最近居住</w:t>
                  </w:r>
                  <w:r>
                    <w:rPr>
                      <w:rFonts w:hint="eastAsia"/>
                      <w:sz w:val="21"/>
                      <w:szCs w:val="21"/>
                    </w:rPr>
                    <w:t>点为东北侧70</w:t>
                  </w:r>
                  <w:r>
                    <w:rPr>
                      <w:sz w:val="21"/>
                      <w:szCs w:val="21"/>
                    </w:rPr>
                    <w:t>m</w:t>
                  </w:r>
                  <w:r>
                    <w:rPr>
                      <w:rFonts w:hint="eastAsia"/>
                      <w:sz w:val="21"/>
                      <w:szCs w:val="21"/>
                    </w:rPr>
                    <w:t>的十字村，该居民点位于本项目的侧风向</w:t>
                  </w:r>
                  <w:r>
                    <w:rPr>
                      <w:sz w:val="21"/>
                      <w:szCs w:val="21"/>
                    </w:rPr>
                    <w:t>，</w:t>
                  </w:r>
                  <w:r>
                    <w:rPr>
                      <w:rFonts w:hint="eastAsia"/>
                      <w:sz w:val="21"/>
                      <w:szCs w:val="21"/>
                    </w:rPr>
                    <w:t>受影响可能性较小。</w:t>
                  </w:r>
                </w:p>
                <w:p w14:paraId="01188342">
                  <w:pPr>
                    <w:adjustRightInd w:val="0"/>
                    <w:snapToGrid w:val="0"/>
                    <w:spacing w:line="240" w:lineRule="auto"/>
                    <w:ind w:firstLine="0" w:firstLineChars="0"/>
                    <w:rPr>
                      <w:iCs/>
                      <w:color w:val="000000"/>
                      <w:kern w:val="0"/>
                      <w:sz w:val="21"/>
                      <w:szCs w:val="21"/>
                    </w:rPr>
                  </w:pPr>
                  <w:r>
                    <w:rPr>
                      <w:iCs/>
                      <w:color w:val="000000"/>
                      <w:kern w:val="0"/>
                      <w:sz w:val="21"/>
                      <w:szCs w:val="21"/>
                    </w:rPr>
                    <w:t>2.项目不属于严格控制包装印刷、工业涂装、制鞋等高VOCs排放的项目</w:t>
                  </w:r>
                  <w:r>
                    <w:rPr>
                      <w:rFonts w:hint="eastAsia"/>
                      <w:iCs/>
                      <w:color w:val="000000"/>
                      <w:kern w:val="0"/>
                      <w:sz w:val="21"/>
                      <w:szCs w:val="21"/>
                    </w:rPr>
                    <w:t>，且生产废气污染因子仅为颗粒物，不排放VOCs。</w:t>
                  </w:r>
                </w:p>
                <w:p w14:paraId="78D1E9E3">
                  <w:pPr>
                    <w:adjustRightInd w:val="0"/>
                    <w:snapToGrid w:val="0"/>
                    <w:spacing w:line="240" w:lineRule="auto"/>
                    <w:ind w:firstLine="0" w:firstLineChars="0"/>
                    <w:rPr>
                      <w:color w:val="000000"/>
                      <w:sz w:val="21"/>
                      <w:szCs w:val="21"/>
                    </w:rPr>
                  </w:pPr>
                  <w:r>
                    <w:rPr>
                      <w:iCs/>
                      <w:color w:val="000000"/>
                      <w:kern w:val="0"/>
                      <w:sz w:val="21"/>
                      <w:szCs w:val="21"/>
                    </w:rPr>
                    <w:t>3.项目</w:t>
                  </w:r>
                  <w:r>
                    <w:rPr>
                      <w:rFonts w:hint="eastAsia"/>
                      <w:iCs/>
                      <w:color w:val="000000"/>
                      <w:kern w:val="0"/>
                      <w:sz w:val="21"/>
                      <w:szCs w:val="21"/>
                    </w:rPr>
                    <w:t>新增用地不属于列入建设用地污染地块名录及开发利用负面清单的土地。</w:t>
                  </w:r>
                </w:p>
              </w:tc>
              <w:tc>
                <w:tcPr>
                  <w:tcW w:w="349" w:type="pct"/>
                  <w:tcBorders>
                    <w:tl2br w:val="nil"/>
                    <w:tr2bl w:val="nil"/>
                  </w:tcBorders>
                  <w:vAlign w:val="center"/>
                </w:tcPr>
                <w:p w14:paraId="7F4BBA18">
                  <w:pPr>
                    <w:widowControl/>
                    <w:snapToGrid w:val="0"/>
                    <w:spacing w:line="240" w:lineRule="auto"/>
                    <w:ind w:firstLine="0" w:firstLineChars="0"/>
                    <w:jc w:val="center"/>
                    <w:rPr>
                      <w:color w:val="000000"/>
                      <w:kern w:val="0"/>
                      <w:sz w:val="21"/>
                      <w:szCs w:val="21"/>
                    </w:rPr>
                  </w:pPr>
                  <w:r>
                    <w:rPr>
                      <w:color w:val="000000"/>
                      <w:kern w:val="0"/>
                      <w:sz w:val="21"/>
                      <w:szCs w:val="21"/>
                    </w:rPr>
                    <w:t>符合</w:t>
                  </w:r>
                </w:p>
              </w:tc>
            </w:tr>
            <w:tr w14:paraId="1D96FB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vAlign w:val="center"/>
                </w:tcPr>
                <w:p w14:paraId="20DC2F25">
                  <w:pPr>
                    <w:widowControl/>
                    <w:snapToGrid w:val="0"/>
                    <w:spacing w:line="240" w:lineRule="auto"/>
                    <w:ind w:firstLine="420"/>
                    <w:jc w:val="center"/>
                    <w:rPr>
                      <w:color w:val="000000"/>
                      <w:kern w:val="0"/>
                      <w:sz w:val="21"/>
                      <w:szCs w:val="21"/>
                    </w:rPr>
                  </w:pPr>
                </w:p>
              </w:tc>
              <w:tc>
                <w:tcPr>
                  <w:tcW w:w="439" w:type="pct"/>
                  <w:vMerge w:val="continue"/>
                  <w:tcBorders>
                    <w:tl2br w:val="nil"/>
                    <w:tr2bl w:val="nil"/>
                  </w:tcBorders>
                  <w:vAlign w:val="center"/>
                </w:tcPr>
                <w:p w14:paraId="729F4FD6">
                  <w:pPr>
                    <w:widowControl/>
                    <w:snapToGrid w:val="0"/>
                    <w:spacing w:line="240" w:lineRule="auto"/>
                    <w:ind w:firstLine="420"/>
                    <w:jc w:val="center"/>
                    <w:rPr>
                      <w:color w:val="000000"/>
                      <w:kern w:val="0"/>
                      <w:sz w:val="21"/>
                      <w:szCs w:val="21"/>
                    </w:rPr>
                  </w:pPr>
                </w:p>
              </w:tc>
              <w:tc>
                <w:tcPr>
                  <w:tcW w:w="367" w:type="pct"/>
                  <w:vMerge w:val="continue"/>
                  <w:tcBorders>
                    <w:tl2br w:val="nil"/>
                    <w:tr2bl w:val="nil"/>
                  </w:tcBorders>
                  <w:vAlign w:val="center"/>
                </w:tcPr>
                <w:p w14:paraId="4CACA00E">
                  <w:pPr>
                    <w:widowControl/>
                    <w:snapToGrid w:val="0"/>
                    <w:spacing w:line="240" w:lineRule="auto"/>
                    <w:ind w:firstLine="420"/>
                    <w:jc w:val="center"/>
                    <w:rPr>
                      <w:color w:val="000000"/>
                      <w:kern w:val="0"/>
                      <w:sz w:val="21"/>
                      <w:szCs w:val="21"/>
                    </w:rPr>
                  </w:pPr>
                </w:p>
              </w:tc>
              <w:tc>
                <w:tcPr>
                  <w:tcW w:w="410" w:type="pct"/>
                  <w:tcBorders>
                    <w:tl2br w:val="nil"/>
                    <w:tr2bl w:val="nil"/>
                  </w:tcBorders>
                  <w:vAlign w:val="center"/>
                </w:tcPr>
                <w:p w14:paraId="5C5AE479">
                  <w:pPr>
                    <w:widowControl/>
                    <w:snapToGrid w:val="0"/>
                    <w:spacing w:line="240" w:lineRule="auto"/>
                    <w:ind w:firstLine="0" w:firstLineChars="0"/>
                    <w:jc w:val="center"/>
                    <w:rPr>
                      <w:color w:val="000000"/>
                      <w:kern w:val="0"/>
                      <w:sz w:val="21"/>
                      <w:szCs w:val="21"/>
                    </w:rPr>
                  </w:pPr>
                  <w:r>
                    <w:rPr>
                      <w:color w:val="000000"/>
                      <w:kern w:val="0"/>
                      <w:sz w:val="21"/>
                      <w:szCs w:val="21"/>
                    </w:rPr>
                    <w:t>污染物</w:t>
                  </w:r>
                </w:p>
                <w:p w14:paraId="0954A472">
                  <w:pPr>
                    <w:widowControl/>
                    <w:snapToGrid w:val="0"/>
                    <w:spacing w:line="240" w:lineRule="auto"/>
                    <w:ind w:firstLine="0" w:firstLineChars="0"/>
                    <w:jc w:val="center"/>
                    <w:rPr>
                      <w:color w:val="000000"/>
                      <w:kern w:val="0"/>
                      <w:sz w:val="21"/>
                      <w:szCs w:val="21"/>
                    </w:rPr>
                  </w:pPr>
                  <w:r>
                    <w:rPr>
                      <w:color w:val="000000"/>
                      <w:kern w:val="0"/>
                      <w:sz w:val="21"/>
                      <w:szCs w:val="21"/>
                    </w:rPr>
                    <w:t>排放</w:t>
                  </w:r>
                </w:p>
                <w:p w14:paraId="30FF58EB">
                  <w:pPr>
                    <w:widowControl/>
                    <w:snapToGrid w:val="0"/>
                    <w:spacing w:line="240" w:lineRule="auto"/>
                    <w:ind w:firstLine="0" w:firstLineChars="0"/>
                    <w:jc w:val="center"/>
                    <w:rPr>
                      <w:color w:val="000000"/>
                      <w:kern w:val="0"/>
                      <w:sz w:val="21"/>
                      <w:szCs w:val="21"/>
                    </w:rPr>
                  </w:pPr>
                  <w:r>
                    <w:rPr>
                      <w:color w:val="000000"/>
                      <w:kern w:val="0"/>
                      <w:sz w:val="21"/>
                      <w:szCs w:val="21"/>
                    </w:rPr>
                    <w:t>管控</w:t>
                  </w:r>
                </w:p>
              </w:tc>
              <w:tc>
                <w:tcPr>
                  <w:tcW w:w="1559" w:type="pct"/>
                  <w:tcBorders>
                    <w:tl2br w:val="nil"/>
                    <w:tr2bl w:val="nil"/>
                  </w:tcBorders>
                  <w:vAlign w:val="center"/>
                </w:tcPr>
                <w:p w14:paraId="612AC4CE">
                  <w:pPr>
                    <w:adjustRightInd w:val="0"/>
                    <w:snapToGrid w:val="0"/>
                    <w:spacing w:line="240" w:lineRule="auto"/>
                    <w:ind w:firstLine="0" w:firstLineChars="0"/>
                    <w:rPr>
                      <w:iCs/>
                      <w:color w:val="000000"/>
                      <w:kern w:val="0"/>
                      <w:sz w:val="21"/>
                      <w:szCs w:val="21"/>
                    </w:rPr>
                  </w:pPr>
                  <w:r>
                    <w:rPr>
                      <w:rFonts w:hint="eastAsia"/>
                      <w:iCs/>
                      <w:color w:val="000000"/>
                      <w:kern w:val="0"/>
                      <w:sz w:val="21"/>
                      <w:szCs w:val="21"/>
                    </w:rPr>
                    <w:t>1.</w:t>
                  </w:r>
                  <w:r>
                    <w:rPr>
                      <w:iCs/>
                      <w:color w:val="000000"/>
                      <w:kern w:val="0"/>
                      <w:sz w:val="21"/>
                      <w:szCs w:val="21"/>
                    </w:rPr>
                    <w:t>禁止向农田灌溉渠道排放工业废水或者医疗污水。向农田灌溉渠道排放城镇污水以及未综合利用的畜禽养殖废水、农产品加工废水的，应当保证其下游最近的灌溉取水点的水质符合农田灌溉水质标准。</w:t>
                  </w:r>
                </w:p>
                <w:p w14:paraId="5A5D11B2">
                  <w:pPr>
                    <w:adjustRightInd w:val="0"/>
                    <w:snapToGrid w:val="0"/>
                    <w:spacing w:line="240" w:lineRule="auto"/>
                    <w:ind w:firstLine="0" w:firstLineChars="0"/>
                    <w:rPr>
                      <w:color w:val="000000"/>
                      <w:sz w:val="21"/>
                      <w:szCs w:val="21"/>
                    </w:rPr>
                  </w:pPr>
                  <w:r>
                    <w:rPr>
                      <w:iCs/>
                      <w:color w:val="000000"/>
                      <w:kern w:val="0"/>
                      <w:sz w:val="21"/>
                      <w:szCs w:val="21"/>
                    </w:rPr>
                    <w:t>2.落实新增二氧化硫、氮氧化物和VOCs排放总量控制要求。</w:t>
                  </w:r>
                </w:p>
              </w:tc>
              <w:tc>
                <w:tcPr>
                  <w:tcW w:w="1420" w:type="pct"/>
                  <w:tcBorders>
                    <w:tl2br w:val="nil"/>
                    <w:tr2bl w:val="nil"/>
                  </w:tcBorders>
                  <w:vAlign w:val="center"/>
                </w:tcPr>
                <w:p w14:paraId="05683FFD">
                  <w:pPr>
                    <w:adjustRightInd w:val="0"/>
                    <w:snapToGrid w:val="0"/>
                    <w:spacing w:line="240" w:lineRule="auto"/>
                    <w:ind w:firstLine="0" w:firstLineChars="0"/>
                    <w:rPr>
                      <w:iCs/>
                      <w:color w:val="000000"/>
                      <w:kern w:val="0"/>
                      <w:sz w:val="21"/>
                      <w:szCs w:val="21"/>
                    </w:rPr>
                  </w:pPr>
                  <w:r>
                    <w:rPr>
                      <w:iCs/>
                      <w:color w:val="000000"/>
                      <w:kern w:val="0"/>
                      <w:sz w:val="21"/>
                      <w:szCs w:val="21"/>
                    </w:rPr>
                    <w:t>1.</w:t>
                  </w:r>
                  <w:r>
                    <w:rPr>
                      <w:sz w:val="21"/>
                      <w:szCs w:val="21"/>
                    </w:rPr>
                    <w:t>项目雨污分流，</w:t>
                  </w:r>
                  <w:r>
                    <w:rPr>
                      <w:rFonts w:hint="eastAsia"/>
                      <w:sz w:val="21"/>
                      <w:szCs w:val="21"/>
                    </w:rPr>
                    <w:t>不涉及生产用水</w:t>
                  </w:r>
                  <w:r>
                    <w:rPr>
                      <w:sz w:val="21"/>
                      <w:szCs w:val="21"/>
                    </w:rPr>
                    <w:t>，生活污水</w:t>
                  </w:r>
                  <w:r>
                    <w:rPr>
                      <w:rFonts w:hint="eastAsia"/>
                      <w:sz w:val="21"/>
                      <w:szCs w:val="21"/>
                    </w:rPr>
                    <w:t>经</w:t>
                  </w:r>
                  <w:r>
                    <w:rPr>
                      <w:sz w:val="21"/>
                      <w:szCs w:val="21"/>
                    </w:rPr>
                    <w:t>化粪池预处理后</w:t>
                  </w:r>
                  <w:r>
                    <w:rPr>
                      <w:rFonts w:hint="eastAsia"/>
                      <w:sz w:val="21"/>
                      <w:szCs w:val="21"/>
                    </w:rPr>
                    <w:t>，</w:t>
                  </w:r>
                  <w:r>
                    <w:rPr>
                      <w:sz w:val="21"/>
                      <w:szCs w:val="21"/>
                    </w:rPr>
                    <w:t>排入</w:t>
                  </w:r>
                  <w:r>
                    <w:rPr>
                      <w:rFonts w:hint="eastAsia"/>
                      <w:sz w:val="21"/>
                      <w:szCs w:val="21"/>
                    </w:rPr>
                    <w:t>市政</w:t>
                  </w:r>
                  <w:r>
                    <w:rPr>
                      <w:sz w:val="21"/>
                      <w:szCs w:val="21"/>
                    </w:rPr>
                    <w:t>污水管网</w:t>
                  </w:r>
                  <w:r>
                    <w:rPr>
                      <w:rFonts w:hint="eastAsia"/>
                      <w:sz w:val="21"/>
                      <w:szCs w:val="21"/>
                    </w:rPr>
                    <w:t>，纳入</w:t>
                  </w:r>
                  <w:r>
                    <w:rPr>
                      <w:sz w:val="21"/>
                      <w:szCs w:val="21"/>
                    </w:rPr>
                    <w:t>闽侯县城关污水处理厂集中处理</w:t>
                  </w:r>
                  <w:r>
                    <w:rPr>
                      <w:iCs/>
                      <w:color w:val="000000"/>
                      <w:kern w:val="0"/>
                      <w:sz w:val="21"/>
                      <w:szCs w:val="21"/>
                    </w:rPr>
                    <w:t>；</w:t>
                  </w:r>
                </w:p>
                <w:p w14:paraId="75684F70">
                  <w:pPr>
                    <w:adjustRightInd w:val="0"/>
                    <w:snapToGrid w:val="0"/>
                    <w:spacing w:line="240" w:lineRule="auto"/>
                    <w:ind w:firstLine="0" w:firstLineChars="0"/>
                    <w:rPr>
                      <w:color w:val="000000"/>
                      <w:sz w:val="21"/>
                      <w:szCs w:val="21"/>
                    </w:rPr>
                  </w:pPr>
                  <w:r>
                    <w:rPr>
                      <w:iCs/>
                      <w:color w:val="000000"/>
                      <w:kern w:val="0"/>
                      <w:sz w:val="21"/>
                      <w:szCs w:val="21"/>
                    </w:rPr>
                    <w:t>2.项目不</w:t>
                  </w:r>
                  <w:r>
                    <w:rPr>
                      <w:rFonts w:hint="eastAsia"/>
                      <w:iCs/>
                      <w:color w:val="000000"/>
                      <w:kern w:val="0"/>
                      <w:sz w:val="21"/>
                      <w:szCs w:val="21"/>
                    </w:rPr>
                    <w:t>涉及</w:t>
                  </w:r>
                  <w:r>
                    <w:rPr>
                      <w:iCs/>
                      <w:color w:val="000000"/>
                      <w:kern w:val="0"/>
                      <w:sz w:val="21"/>
                      <w:szCs w:val="21"/>
                    </w:rPr>
                    <w:t>二氧化硫、氮氧化物和VOCs排放。</w:t>
                  </w:r>
                </w:p>
              </w:tc>
              <w:tc>
                <w:tcPr>
                  <w:tcW w:w="349" w:type="pct"/>
                  <w:tcBorders>
                    <w:tl2br w:val="nil"/>
                    <w:tr2bl w:val="nil"/>
                  </w:tcBorders>
                  <w:vAlign w:val="center"/>
                </w:tcPr>
                <w:p w14:paraId="55AEB0E4">
                  <w:pPr>
                    <w:widowControl/>
                    <w:snapToGrid w:val="0"/>
                    <w:spacing w:line="240" w:lineRule="auto"/>
                    <w:ind w:firstLine="0" w:firstLineChars="0"/>
                    <w:jc w:val="center"/>
                    <w:rPr>
                      <w:color w:val="000000"/>
                      <w:kern w:val="0"/>
                      <w:sz w:val="21"/>
                      <w:szCs w:val="21"/>
                    </w:rPr>
                  </w:pPr>
                  <w:r>
                    <w:rPr>
                      <w:color w:val="000000"/>
                      <w:kern w:val="0"/>
                      <w:sz w:val="21"/>
                      <w:szCs w:val="21"/>
                    </w:rPr>
                    <w:t>符合</w:t>
                  </w:r>
                </w:p>
              </w:tc>
            </w:tr>
            <w:tr w14:paraId="33A6BD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vAlign w:val="center"/>
                </w:tcPr>
                <w:p w14:paraId="66361E62">
                  <w:pPr>
                    <w:widowControl/>
                    <w:snapToGrid w:val="0"/>
                    <w:spacing w:line="240" w:lineRule="auto"/>
                    <w:ind w:firstLine="420"/>
                    <w:jc w:val="center"/>
                    <w:rPr>
                      <w:color w:val="000000"/>
                      <w:kern w:val="0"/>
                      <w:sz w:val="21"/>
                      <w:szCs w:val="21"/>
                    </w:rPr>
                  </w:pPr>
                </w:p>
              </w:tc>
              <w:tc>
                <w:tcPr>
                  <w:tcW w:w="439" w:type="pct"/>
                  <w:vMerge w:val="continue"/>
                  <w:tcBorders>
                    <w:tl2br w:val="nil"/>
                    <w:tr2bl w:val="nil"/>
                  </w:tcBorders>
                  <w:vAlign w:val="center"/>
                </w:tcPr>
                <w:p w14:paraId="24745EFE">
                  <w:pPr>
                    <w:widowControl/>
                    <w:snapToGrid w:val="0"/>
                    <w:spacing w:line="240" w:lineRule="auto"/>
                    <w:ind w:firstLine="420"/>
                    <w:jc w:val="center"/>
                    <w:rPr>
                      <w:color w:val="000000"/>
                      <w:kern w:val="0"/>
                      <w:sz w:val="21"/>
                      <w:szCs w:val="21"/>
                    </w:rPr>
                  </w:pPr>
                </w:p>
              </w:tc>
              <w:tc>
                <w:tcPr>
                  <w:tcW w:w="367" w:type="pct"/>
                  <w:vMerge w:val="continue"/>
                  <w:tcBorders>
                    <w:tl2br w:val="nil"/>
                    <w:tr2bl w:val="nil"/>
                  </w:tcBorders>
                  <w:vAlign w:val="center"/>
                </w:tcPr>
                <w:p w14:paraId="5B04152D">
                  <w:pPr>
                    <w:widowControl/>
                    <w:snapToGrid w:val="0"/>
                    <w:spacing w:line="240" w:lineRule="auto"/>
                    <w:ind w:firstLine="420"/>
                    <w:jc w:val="center"/>
                    <w:rPr>
                      <w:color w:val="000000"/>
                      <w:kern w:val="0"/>
                      <w:sz w:val="21"/>
                      <w:szCs w:val="21"/>
                    </w:rPr>
                  </w:pPr>
                </w:p>
              </w:tc>
              <w:tc>
                <w:tcPr>
                  <w:tcW w:w="410" w:type="pct"/>
                  <w:tcBorders>
                    <w:tl2br w:val="nil"/>
                    <w:tr2bl w:val="nil"/>
                  </w:tcBorders>
                  <w:vAlign w:val="center"/>
                </w:tcPr>
                <w:p w14:paraId="2016C005">
                  <w:pPr>
                    <w:widowControl/>
                    <w:snapToGrid w:val="0"/>
                    <w:spacing w:line="240" w:lineRule="auto"/>
                    <w:ind w:firstLine="0" w:firstLineChars="0"/>
                    <w:jc w:val="center"/>
                    <w:rPr>
                      <w:color w:val="000000"/>
                      <w:kern w:val="0"/>
                      <w:sz w:val="21"/>
                      <w:szCs w:val="21"/>
                    </w:rPr>
                  </w:pPr>
                  <w:r>
                    <w:rPr>
                      <w:color w:val="000000"/>
                      <w:kern w:val="0"/>
                      <w:sz w:val="21"/>
                      <w:szCs w:val="21"/>
                    </w:rPr>
                    <w:t>环境</w:t>
                  </w:r>
                </w:p>
                <w:p w14:paraId="0E122765">
                  <w:pPr>
                    <w:widowControl/>
                    <w:snapToGrid w:val="0"/>
                    <w:spacing w:line="240" w:lineRule="auto"/>
                    <w:ind w:firstLine="0" w:firstLineChars="0"/>
                    <w:jc w:val="center"/>
                    <w:rPr>
                      <w:color w:val="000000"/>
                      <w:kern w:val="0"/>
                      <w:sz w:val="21"/>
                      <w:szCs w:val="21"/>
                    </w:rPr>
                  </w:pPr>
                  <w:r>
                    <w:rPr>
                      <w:color w:val="000000"/>
                      <w:kern w:val="0"/>
                      <w:sz w:val="21"/>
                      <w:szCs w:val="21"/>
                    </w:rPr>
                    <w:t>风险</w:t>
                  </w:r>
                </w:p>
                <w:p w14:paraId="6B52AED7">
                  <w:pPr>
                    <w:widowControl/>
                    <w:snapToGrid w:val="0"/>
                    <w:spacing w:line="240" w:lineRule="auto"/>
                    <w:ind w:firstLine="0" w:firstLineChars="0"/>
                    <w:jc w:val="center"/>
                    <w:rPr>
                      <w:color w:val="000000"/>
                      <w:kern w:val="0"/>
                      <w:sz w:val="21"/>
                      <w:szCs w:val="21"/>
                    </w:rPr>
                  </w:pPr>
                  <w:r>
                    <w:rPr>
                      <w:color w:val="000000"/>
                      <w:kern w:val="0"/>
                      <w:sz w:val="21"/>
                      <w:szCs w:val="21"/>
                    </w:rPr>
                    <w:t>防控</w:t>
                  </w:r>
                </w:p>
              </w:tc>
              <w:tc>
                <w:tcPr>
                  <w:tcW w:w="1559" w:type="pct"/>
                  <w:tcBorders>
                    <w:tl2br w:val="nil"/>
                    <w:tr2bl w:val="nil"/>
                  </w:tcBorders>
                  <w:vAlign w:val="center"/>
                </w:tcPr>
                <w:p w14:paraId="041C3CB6">
                  <w:pPr>
                    <w:adjustRightInd w:val="0"/>
                    <w:snapToGrid w:val="0"/>
                    <w:spacing w:line="240" w:lineRule="auto"/>
                    <w:ind w:firstLine="0" w:firstLineChars="0"/>
                    <w:rPr>
                      <w:color w:val="000000"/>
                      <w:sz w:val="21"/>
                      <w:szCs w:val="21"/>
                    </w:rPr>
                  </w:pPr>
                  <w:r>
                    <w:rPr>
                      <w:iCs/>
                      <w:color w:val="000000"/>
                      <w:kern w:val="0"/>
                      <w:sz w:val="21"/>
                      <w:szCs w:val="21"/>
                    </w:rPr>
                    <w:t>单元内现有化学原料和化学制品制造业等具有潜在土壤污染环境风险的企业退役后，应开展土壤环境状况评估，经评估认为污染地块可能损害人体健康和环境，应当进行修复的，由造成污染的单位和个人负责被污染土壤的修复。</w:t>
                  </w:r>
                </w:p>
              </w:tc>
              <w:tc>
                <w:tcPr>
                  <w:tcW w:w="1420" w:type="pct"/>
                  <w:tcBorders>
                    <w:tl2br w:val="nil"/>
                    <w:tr2bl w:val="nil"/>
                  </w:tcBorders>
                  <w:vAlign w:val="center"/>
                </w:tcPr>
                <w:p w14:paraId="07855205">
                  <w:pPr>
                    <w:adjustRightInd w:val="0"/>
                    <w:snapToGrid w:val="0"/>
                    <w:spacing w:line="240" w:lineRule="auto"/>
                    <w:ind w:firstLine="0" w:firstLineChars="0"/>
                    <w:rPr>
                      <w:color w:val="000000"/>
                      <w:sz w:val="21"/>
                      <w:szCs w:val="21"/>
                    </w:rPr>
                  </w:pPr>
                  <w:r>
                    <w:rPr>
                      <w:iCs/>
                      <w:color w:val="000000"/>
                      <w:kern w:val="0"/>
                      <w:sz w:val="21"/>
                      <w:szCs w:val="21"/>
                    </w:rPr>
                    <w:t>项目不属于化学原料和化学制品制造业，项目建设后，项目厂区车间地面全部硬化，生产过程不排放持久性及重金属等污染物，严格按照要求进行分区防渗防控，可有效避免对地下水、土壤造成污染。</w:t>
                  </w:r>
                </w:p>
              </w:tc>
              <w:tc>
                <w:tcPr>
                  <w:tcW w:w="349" w:type="pct"/>
                  <w:tcBorders>
                    <w:tl2br w:val="nil"/>
                    <w:tr2bl w:val="nil"/>
                  </w:tcBorders>
                  <w:vAlign w:val="center"/>
                </w:tcPr>
                <w:p w14:paraId="003813E9">
                  <w:pPr>
                    <w:widowControl/>
                    <w:snapToGrid w:val="0"/>
                    <w:spacing w:line="240" w:lineRule="auto"/>
                    <w:ind w:firstLine="0" w:firstLineChars="0"/>
                    <w:jc w:val="center"/>
                    <w:rPr>
                      <w:color w:val="000000"/>
                      <w:kern w:val="0"/>
                      <w:sz w:val="21"/>
                      <w:szCs w:val="21"/>
                    </w:rPr>
                  </w:pPr>
                  <w:r>
                    <w:rPr>
                      <w:color w:val="000000"/>
                      <w:kern w:val="0"/>
                      <w:sz w:val="21"/>
                      <w:szCs w:val="21"/>
                    </w:rPr>
                    <w:t>符合</w:t>
                  </w:r>
                </w:p>
              </w:tc>
            </w:tr>
            <w:tr w14:paraId="436D4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vAlign w:val="center"/>
                </w:tcPr>
                <w:p w14:paraId="54DD60A8">
                  <w:pPr>
                    <w:widowControl/>
                    <w:snapToGrid w:val="0"/>
                    <w:spacing w:line="240" w:lineRule="auto"/>
                    <w:ind w:firstLine="420"/>
                    <w:jc w:val="center"/>
                    <w:rPr>
                      <w:color w:val="000000"/>
                      <w:kern w:val="0"/>
                      <w:sz w:val="21"/>
                      <w:szCs w:val="21"/>
                    </w:rPr>
                  </w:pPr>
                </w:p>
              </w:tc>
              <w:tc>
                <w:tcPr>
                  <w:tcW w:w="439" w:type="pct"/>
                  <w:vMerge w:val="continue"/>
                  <w:tcBorders>
                    <w:tl2br w:val="nil"/>
                    <w:tr2bl w:val="nil"/>
                  </w:tcBorders>
                  <w:vAlign w:val="center"/>
                </w:tcPr>
                <w:p w14:paraId="7A68523C">
                  <w:pPr>
                    <w:widowControl/>
                    <w:snapToGrid w:val="0"/>
                    <w:spacing w:line="240" w:lineRule="auto"/>
                    <w:ind w:firstLine="420"/>
                    <w:jc w:val="center"/>
                    <w:rPr>
                      <w:color w:val="000000"/>
                      <w:kern w:val="0"/>
                      <w:sz w:val="21"/>
                      <w:szCs w:val="21"/>
                    </w:rPr>
                  </w:pPr>
                </w:p>
              </w:tc>
              <w:tc>
                <w:tcPr>
                  <w:tcW w:w="367" w:type="pct"/>
                  <w:vMerge w:val="continue"/>
                  <w:tcBorders>
                    <w:tl2br w:val="nil"/>
                    <w:tr2bl w:val="nil"/>
                  </w:tcBorders>
                  <w:vAlign w:val="center"/>
                </w:tcPr>
                <w:p w14:paraId="03B3067C">
                  <w:pPr>
                    <w:widowControl/>
                    <w:snapToGrid w:val="0"/>
                    <w:spacing w:line="240" w:lineRule="auto"/>
                    <w:ind w:firstLine="420"/>
                    <w:jc w:val="center"/>
                    <w:rPr>
                      <w:color w:val="000000"/>
                      <w:kern w:val="0"/>
                      <w:sz w:val="21"/>
                      <w:szCs w:val="21"/>
                    </w:rPr>
                  </w:pPr>
                </w:p>
              </w:tc>
              <w:tc>
                <w:tcPr>
                  <w:tcW w:w="410" w:type="pct"/>
                  <w:tcBorders>
                    <w:tl2br w:val="nil"/>
                    <w:tr2bl w:val="nil"/>
                  </w:tcBorders>
                  <w:vAlign w:val="center"/>
                </w:tcPr>
                <w:p w14:paraId="0C2375F1">
                  <w:pPr>
                    <w:adjustRightInd w:val="0"/>
                    <w:snapToGrid w:val="0"/>
                    <w:spacing w:line="240" w:lineRule="auto"/>
                    <w:ind w:firstLine="0" w:firstLineChars="0"/>
                    <w:jc w:val="center"/>
                    <w:rPr>
                      <w:iCs/>
                      <w:color w:val="000000"/>
                      <w:kern w:val="0"/>
                      <w:sz w:val="21"/>
                      <w:szCs w:val="21"/>
                    </w:rPr>
                  </w:pPr>
                  <w:r>
                    <w:rPr>
                      <w:iCs/>
                      <w:color w:val="000000"/>
                      <w:kern w:val="0"/>
                      <w:sz w:val="21"/>
                      <w:szCs w:val="21"/>
                    </w:rPr>
                    <w:t>资源</w:t>
                  </w:r>
                </w:p>
                <w:p w14:paraId="559BBC6B">
                  <w:pPr>
                    <w:adjustRightInd w:val="0"/>
                    <w:snapToGrid w:val="0"/>
                    <w:spacing w:line="240" w:lineRule="auto"/>
                    <w:ind w:firstLine="0" w:firstLineChars="0"/>
                    <w:jc w:val="center"/>
                    <w:rPr>
                      <w:iCs/>
                      <w:color w:val="000000"/>
                      <w:kern w:val="0"/>
                      <w:sz w:val="21"/>
                      <w:szCs w:val="21"/>
                    </w:rPr>
                  </w:pPr>
                  <w:r>
                    <w:rPr>
                      <w:iCs/>
                      <w:color w:val="000000"/>
                      <w:kern w:val="0"/>
                      <w:sz w:val="21"/>
                      <w:szCs w:val="21"/>
                    </w:rPr>
                    <w:t>开发</w:t>
                  </w:r>
                </w:p>
                <w:p w14:paraId="2B305761">
                  <w:pPr>
                    <w:adjustRightInd w:val="0"/>
                    <w:snapToGrid w:val="0"/>
                    <w:spacing w:line="240" w:lineRule="auto"/>
                    <w:ind w:firstLine="0" w:firstLineChars="0"/>
                    <w:jc w:val="center"/>
                    <w:rPr>
                      <w:iCs/>
                      <w:color w:val="000000"/>
                      <w:kern w:val="0"/>
                      <w:sz w:val="21"/>
                      <w:szCs w:val="21"/>
                    </w:rPr>
                  </w:pPr>
                  <w:r>
                    <w:rPr>
                      <w:iCs/>
                      <w:color w:val="000000"/>
                      <w:kern w:val="0"/>
                      <w:sz w:val="21"/>
                      <w:szCs w:val="21"/>
                    </w:rPr>
                    <w:t>效率</w:t>
                  </w:r>
                </w:p>
                <w:p w14:paraId="1DC524FC">
                  <w:pPr>
                    <w:adjustRightInd w:val="0"/>
                    <w:snapToGrid w:val="0"/>
                    <w:spacing w:line="240" w:lineRule="auto"/>
                    <w:ind w:firstLine="0" w:firstLineChars="0"/>
                    <w:jc w:val="center"/>
                    <w:rPr>
                      <w:color w:val="000000"/>
                      <w:sz w:val="21"/>
                      <w:szCs w:val="21"/>
                    </w:rPr>
                  </w:pPr>
                  <w:r>
                    <w:rPr>
                      <w:iCs/>
                      <w:color w:val="000000"/>
                      <w:kern w:val="0"/>
                      <w:sz w:val="21"/>
                      <w:szCs w:val="21"/>
                    </w:rPr>
                    <w:t>要求</w:t>
                  </w:r>
                </w:p>
              </w:tc>
              <w:tc>
                <w:tcPr>
                  <w:tcW w:w="1559" w:type="pct"/>
                  <w:tcBorders>
                    <w:tl2br w:val="nil"/>
                    <w:tr2bl w:val="nil"/>
                  </w:tcBorders>
                  <w:vAlign w:val="center"/>
                </w:tcPr>
                <w:p w14:paraId="7A6AF605">
                  <w:pPr>
                    <w:adjustRightInd w:val="0"/>
                    <w:snapToGrid w:val="0"/>
                    <w:spacing w:line="240" w:lineRule="auto"/>
                    <w:ind w:firstLine="0" w:firstLineChars="0"/>
                    <w:jc w:val="center"/>
                    <w:rPr>
                      <w:iCs/>
                      <w:color w:val="000000"/>
                      <w:kern w:val="0"/>
                      <w:sz w:val="21"/>
                      <w:szCs w:val="21"/>
                    </w:rPr>
                  </w:pPr>
                  <w:r>
                    <w:rPr>
                      <w:rFonts w:hint="eastAsia"/>
                      <w:iCs/>
                      <w:color w:val="000000"/>
                      <w:kern w:val="0"/>
                      <w:sz w:val="21"/>
                      <w:szCs w:val="21"/>
                    </w:rPr>
                    <w:t>无</w:t>
                  </w:r>
                </w:p>
              </w:tc>
              <w:tc>
                <w:tcPr>
                  <w:tcW w:w="1420" w:type="pct"/>
                  <w:tcBorders>
                    <w:tl2br w:val="nil"/>
                    <w:tr2bl w:val="nil"/>
                  </w:tcBorders>
                  <w:vAlign w:val="center"/>
                </w:tcPr>
                <w:p w14:paraId="5E34519C">
                  <w:pPr>
                    <w:adjustRightInd w:val="0"/>
                    <w:snapToGrid w:val="0"/>
                    <w:spacing w:line="240" w:lineRule="auto"/>
                    <w:ind w:firstLine="0" w:firstLineChars="0"/>
                    <w:jc w:val="center"/>
                    <w:rPr>
                      <w:iCs/>
                      <w:color w:val="000000"/>
                      <w:kern w:val="0"/>
                      <w:sz w:val="21"/>
                      <w:szCs w:val="21"/>
                    </w:rPr>
                  </w:pPr>
                  <w:r>
                    <w:rPr>
                      <w:rFonts w:hint="eastAsia"/>
                      <w:iCs/>
                      <w:color w:val="000000"/>
                      <w:kern w:val="0"/>
                      <w:sz w:val="21"/>
                      <w:szCs w:val="21"/>
                    </w:rPr>
                    <w:t>/</w:t>
                  </w:r>
                </w:p>
              </w:tc>
              <w:tc>
                <w:tcPr>
                  <w:tcW w:w="349" w:type="pct"/>
                  <w:tcBorders>
                    <w:tl2br w:val="nil"/>
                    <w:tr2bl w:val="nil"/>
                  </w:tcBorders>
                  <w:vAlign w:val="center"/>
                </w:tcPr>
                <w:p w14:paraId="724F7DC7">
                  <w:pPr>
                    <w:widowControl/>
                    <w:snapToGrid w:val="0"/>
                    <w:spacing w:line="240" w:lineRule="auto"/>
                    <w:ind w:firstLine="0" w:firstLineChars="0"/>
                    <w:jc w:val="center"/>
                    <w:rPr>
                      <w:color w:val="000000"/>
                      <w:kern w:val="0"/>
                      <w:sz w:val="21"/>
                      <w:szCs w:val="21"/>
                    </w:rPr>
                  </w:pPr>
                  <w:r>
                    <w:rPr>
                      <w:rFonts w:hint="eastAsia"/>
                      <w:color w:val="000000"/>
                      <w:kern w:val="0"/>
                      <w:sz w:val="21"/>
                      <w:szCs w:val="21"/>
                    </w:rPr>
                    <w:t>/</w:t>
                  </w:r>
                </w:p>
              </w:tc>
            </w:tr>
          </w:tbl>
          <w:p w14:paraId="48EAD5C4">
            <w:pPr>
              <w:pStyle w:val="136"/>
              <w:ind w:firstLine="480"/>
            </w:pPr>
            <w:r>
              <w:t>综上所述，项目建设符合《福州市生态环境局关于发布福州市2024年生态环境分区管控动态更新成果的通知》（榕环保综〔2025〕1号）中相关要求。</w:t>
            </w:r>
          </w:p>
          <w:p w14:paraId="182AB731">
            <w:pPr>
              <w:wordWrap w:val="0"/>
              <w:overflowPunct w:val="0"/>
              <w:autoSpaceDN w:val="0"/>
              <w:ind w:firstLine="420"/>
              <w:rPr>
                <w:color w:val="000000"/>
                <w:sz w:val="21"/>
              </w:rPr>
            </w:pPr>
          </w:p>
        </w:tc>
      </w:tr>
    </w:tbl>
    <w:p w14:paraId="65AC4C2B">
      <w:pPr>
        <w:ind w:firstLine="600"/>
        <w:rPr>
          <w:rFonts w:eastAsia="黑体"/>
          <w:sz w:val="30"/>
        </w:rPr>
        <w:sectPr>
          <w:pgSz w:w="16838" w:h="11906" w:orient="landscape"/>
          <w:pgMar w:top="1417" w:right="1417" w:bottom="1417" w:left="1417" w:header="851" w:footer="1077" w:gutter="0"/>
          <w:cols w:space="720" w:num="1"/>
          <w:docGrid w:linePitch="312" w:charSpace="0"/>
        </w:sectPr>
      </w:pPr>
    </w:p>
    <w:p w14:paraId="56D65D80">
      <w:pPr>
        <w:keepNext/>
        <w:overflowPunct w:val="0"/>
        <w:ind w:firstLine="0" w:firstLineChars="0"/>
        <w:jc w:val="center"/>
        <w:outlineLvl w:val="0"/>
        <w:rPr>
          <w:b/>
          <w:bCs/>
          <w:kern w:val="44"/>
          <w:sz w:val="32"/>
          <w:szCs w:val="30"/>
        </w:rPr>
      </w:pPr>
      <w:bookmarkStart w:id="3" w:name="_Toc942"/>
      <w:bookmarkStart w:id="4" w:name="_Toc9730"/>
      <w:r>
        <w:rPr>
          <w:b/>
          <w:bCs/>
          <w:kern w:val="44"/>
          <w:sz w:val="32"/>
          <w:szCs w:val="30"/>
        </w:rPr>
        <w:t>二、建设项目工程分析</w:t>
      </w:r>
      <w:bookmarkEnd w:id="3"/>
      <w:bookmarkEnd w:id="4"/>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8274"/>
      </w:tblGrid>
      <w:tr w14:paraId="009F57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4" w:type="pct"/>
            <w:vAlign w:val="center"/>
          </w:tcPr>
          <w:p w14:paraId="7A9A97CA">
            <w:pPr>
              <w:adjustRightInd w:val="0"/>
              <w:snapToGrid w:val="0"/>
              <w:spacing w:line="240" w:lineRule="auto"/>
              <w:ind w:firstLine="0" w:firstLineChars="0"/>
              <w:jc w:val="center"/>
            </w:pPr>
            <w:r>
              <w:t>建设</w:t>
            </w:r>
          </w:p>
          <w:p w14:paraId="0404C3EA">
            <w:pPr>
              <w:adjustRightInd w:val="0"/>
              <w:snapToGrid w:val="0"/>
              <w:spacing w:line="240" w:lineRule="auto"/>
              <w:ind w:firstLine="0" w:firstLineChars="0"/>
              <w:jc w:val="center"/>
            </w:pPr>
            <w:r>
              <w:t>内容</w:t>
            </w:r>
          </w:p>
        </w:tc>
        <w:tc>
          <w:tcPr>
            <w:tcW w:w="4565" w:type="pct"/>
          </w:tcPr>
          <w:p w14:paraId="587CEBE4">
            <w:pPr>
              <w:keepNext/>
              <w:keepLines/>
              <w:ind w:firstLine="0" w:firstLineChars="0"/>
              <w:jc w:val="left"/>
              <w:outlineLvl w:val="1"/>
              <w:rPr>
                <w:b/>
                <w:bCs/>
                <w:sz w:val="30"/>
                <w:szCs w:val="32"/>
              </w:rPr>
            </w:pPr>
            <w:r>
              <w:rPr>
                <w:rFonts w:hint="eastAsia"/>
                <w:b/>
                <w:bCs/>
                <w:sz w:val="30"/>
                <w:szCs w:val="32"/>
              </w:rPr>
              <w:t>2.</w:t>
            </w:r>
            <w:r>
              <w:rPr>
                <w:b/>
                <w:bCs/>
                <w:sz w:val="30"/>
                <w:szCs w:val="32"/>
              </w:rPr>
              <w:t>1</w:t>
            </w:r>
            <w:r>
              <w:rPr>
                <w:rFonts w:hint="eastAsia"/>
                <w:b/>
                <w:bCs/>
                <w:sz w:val="30"/>
                <w:szCs w:val="32"/>
              </w:rPr>
              <w:t xml:space="preserve"> 项目概况</w:t>
            </w:r>
          </w:p>
          <w:p w14:paraId="38C6FB6F">
            <w:pPr>
              <w:keepNext/>
              <w:keepLines/>
              <w:ind w:firstLine="0" w:firstLineChars="0"/>
              <w:jc w:val="left"/>
              <w:outlineLvl w:val="2"/>
              <w:rPr>
                <w:b/>
                <w:bCs/>
                <w:sz w:val="28"/>
                <w:szCs w:val="32"/>
              </w:rPr>
            </w:pPr>
            <w:r>
              <w:rPr>
                <w:rFonts w:hint="eastAsia"/>
                <w:b/>
                <w:bCs/>
                <w:sz w:val="28"/>
                <w:szCs w:val="32"/>
              </w:rPr>
              <w:t>2.1.1</w:t>
            </w:r>
            <w:r>
              <w:rPr>
                <w:b/>
                <w:bCs/>
                <w:sz w:val="28"/>
                <w:szCs w:val="32"/>
              </w:rPr>
              <w:t>项目</w:t>
            </w:r>
            <w:r>
              <w:rPr>
                <w:rFonts w:hint="eastAsia"/>
                <w:b/>
                <w:bCs/>
                <w:sz w:val="28"/>
                <w:szCs w:val="32"/>
              </w:rPr>
              <w:t>由来</w:t>
            </w:r>
          </w:p>
          <w:p w14:paraId="69575E36">
            <w:pPr>
              <w:ind w:firstLine="480"/>
            </w:pPr>
            <w:r>
              <w:rPr>
                <w:rFonts w:hint="eastAsia"/>
              </w:rPr>
              <w:t>福建省迈客邦建材有限公司位于福建省福州市闽侯县甘蔗街道陈店湖路18号，租赁福州倍丰实业有限公司地下室部分场地，租赁合同详见附件</w:t>
            </w:r>
            <w:r>
              <w:rPr>
                <w:rFonts w:hint="eastAsia"/>
                <w:lang w:val="en-US" w:eastAsia="zh-CN"/>
              </w:rPr>
              <w:t>6</w:t>
            </w:r>
            <w:r>
              <w:rPr>
                <w:rFonts w:hint="eastAsia"/>
              </w:rPr>
              <w:t>，租赁面积800m</w:t>
            </w:r>
            <w:r>
              <w:rPr>
                <w:rFonts w:hint="eastAsia"/>
                <w:vertAlign w:val="superscript"/>
              </w:rPr>
              <w:t>2</w:t>
            </w:r>
            <w:r>
              <w:rPr>
                <w:rFonts w:hint="eastAsia"/>
              </w:rPr>
              <w:t>，设备尚未安装。</w:t>
            </w:r>
          </w:p>
          <w:p w14:paraId="2B28F676">
            <w:pPr>
              <w:widowControl/>
              <w:ind w:firstLine="480"/>
              <w:jc w:val="left"/>
            </w:pPr>
            <w:r>
              <w:rPr>
                <w:rFonts w:hint="eastAsia"/>
              </w:rPr>
              <w:t>本</w:t>
            </w:r>
            <w:r>
              <w:rPr>
                <w:rFonts w:hint="eastAsia" w:hAnsi="宋体"/>
                <w:kern w:val="0"/>
              </w:rPr>
              <w:t>项目主要从事干粉砂浆拌合生产，年产干粉砂浆30000吨，</w:t>
            </w:r>
            <w:r>
              <w:rPr>
                <w:rFonts w:hint="eastAsia" w:hAnsi="宋体"/>
              </w:rPr>
              <w:t>用于建筑装饰装修工程</w:t>
            </w:r>
            <w:r>
              <w:rPr>
                <w:rFonts w:hint="eastAsia" w:hAnsi="宋体"/>
                <w:kern w:val="0"/>
              </w:rPr>
              <w:t>。</w:t>
            </w:r>
            <w:r>
              <w:t>根据《中华人民共和国环境影响评价法</w:t>
            </w:r>
            <w:r>
              <w:rPr>
                <w:rFonts w:hint="eastAsia"/>
              </w:rPr>
              <w:t>》《</w:t>
            </w:r>
            <w:r>
              <w:t>建设项目环境保护管理条例》</w:t>
            </w:r>
            <w:r>
              <w:rPr>
                <w:rFonts w:hint="eastAsia"/>
              </w:rPr>
              <w:t>（</w:t>
            </w:r>
            <w:r>
              <w:t>国务院第253号令</w:t>
            </w:r>
            <w:r>
              <w:rPr>
                <w:rFonts w:hint="eastAsia"/>
              </w:rPr>
              <w:t>）</w:t>
            </w:r>
            <w:r>
              <w:t>和《建设项目环境影响评价分类管理名录》的有</w:t>
            </w:r>
            <w:r>
              <w:rPr>
                <w:rFonts w:hint="eastAsia"/>
              </w:rPr>
              <w:t>关规定</w:t>
            </w:r>
            <w:r>
              <w:rPr>
                <w:rFonts w:hint="eastAsia" w:hAnsi="宋体"/>
                <w:kern w:val="0"/>
              </w:rPr>
              <w:t>，属于“二十七、非金属矿物制品业30；56、砖瓦、石材等建筑材料制造303：粘土砖瓦及建筑砌块制造；建筑用石加工；防水建筑材料制造；隔热、隔音材料制造；其他建筑材料制造（含干粉砂浆搅拌站）以上均不含利用石材板材切割、打磨、成型的”，应</w:t>
            </w:r>
            <w:r>
              <w:rPr>
                <w:rFonts w:hAnsi="宋体"/>
                <w:kern w:val="0"/>
              </w:rPr>
              <w:t>编制环境影响</w:t>
            </w:r>
            <w:r>
              <w:rPr>
                <w:rFonts w:hint="eastAsia" w:hAnsi="宋体"/>
                <w:kern w:val="0"/>
              </w:rPr>
              <w:t>评价</w:t>
            </w:r>
            <w:r>
              <w:rPr>
                <w:rFonts w:hAnsi="宋体"/>
                <w:kern w:val="0"/>
              </w:rPr>
              <w:t>报告表</w:t>
            </w:r>
            <w:r>
              <w:t>。因此，建设单位委托</w:t>
            </w:r>
            <w:r>
              <w:rPr>
                <w:rFonts w:hint="eastAsia"/>
              </w:rPr>
              <w:t>我司</w:t>
            </w:r>
            <w:r>
              <w:t>编制该项目的环境影响报告表。</w:t>
            </w:r>
          </w:p>
          <w:p w14:paraId="27C14433">
            <w:pPr>
              <w:widowControl/>
              <w:ind w:firstLine="480"/>
              <w:jc w:val="left"/>
            </w:pPr>
            <w:r>
              <w:rPr>
                <w:rFonts w:hint="eastAsia"/>
                <w:bCs/>
              </w:rPr>
              <w:t>本单位接受委托后即派技术人员现场踏勘和收集有关资料，按照国家相关环保法律、法规、污染防治技术政策的有关规范及《建设项目环境影响报告表编制技术指南（污染影响类）（试行）》编制报告表，供建设单位报生态环境主管部门审批。</w:t>
            </w:r>
          </w:p>
          <w:p w14:paraId="350103F6">
            <w:pPr>
              <w:spacing w:before="120" w:beforeLines="50" w:line="240" w:lineRule="auto"/>
              <w:ind w:firstLine="482"/>
              <w:jc w:val="center"/>
              <w:rPr>
                <w:b/>
                <w:szCs w:val="21"/>
              </w:rPr>
            </w:pPr>
            <w:r>
              <w:rPr>
                <w:b/>
                <w:szCs w:val="21"/>
              </w:rPr>
              <w:t>表</w:t>
            </w:r>
            <w:r>
              <w:rPr>
                <w:rFonts w:hint="eastAsia"/>
                <w:b/>
                <w:szCs w:val="21"/>
              </w:rPr>
              <w:t>2.1</w:t>
            </w:r>
            <w:r>
              <w:rPr>
                <w:b/>
                <w:szCs w:val="21"/>
              </w:rPr>
              <w:t>-1  建设项目环境影响评价分类管理名录</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06"/>
              <w:gridCol w:w="2268"/>
              <w:gridCol w:w="1822"/>
              <w:gridCol w:w="2162"/>
              <w:gridCol w:w="1297"/>
            </w:tblGrid>
            <w:tr w14:paraId="3D5707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1" w:hRule="atLeast"/>
                <w:jc w:val="center"/>
              </w:trPr>
              <w:tc>
                <w:tcPr>
                  <w:tcW w:w="1722" w:type="pct"/>
                  <w:gridSpan w:val="2"/>
                  <w:tcBorders>
                    <w:tl2br w:val="single" w:color="auto" w:sz="4" w:space="0"/>
                  </w:tcBorders>
                  <w:shd w:val="clear" w:color="auto" w:fill="auto"/>
                  <w:vAlign w:val="center"/>
                </w:tcPr>
                <w:p w14:paraId="08DC8B6F">
                  <w:pPr>
                    <w:spacing w:line="240" w:lineRule="auto"/>
                    <w:ind w:firstLine="0" w:firstLineChars="0"/>
                    <w:jc w:val="center"/>
                    <w:rPr>
                      <w:b/>
                      <w:bCs/>
                      <w:sz w:val="21"/>
                      <w:szCs w:val="21"/>
                      <w:lang w:val="zh-CN"/>
                    </w:rPr>
                  </w:pPr>
                  <w:r>
                    <w:rPr>
                      <w:b/>
                      <w:bCs/>
                      <w:sz w:val="21"/>
                      <w:szCs w:val="21"/>
                      <w:lang w:val="zh-CN"/>
                    </w:rPr>
                    <w:t xml:space="preserve">  </w:t>
                  </w:r>
                  <w:r>
                    <w:rPr>
                      <w:rFonts w:hint="eastAsia"/>
                      <w:b/>
                      <w:bCs/>
                      <w:sz w:val="21"/>
                      <w:szCs w:val="21"/>
                    </w:rPr>
                    <w:t xml:space="preserve">     </w:t>
                  </w:r>
                  <w:r>
                    <w:rPr>
                      <w:b/>
                      <w:bCs/>
                      <w:sz w:val="21"/>
                      <w:szCs w:val="21"/>
                      <w:lang w:val="zh-CN"/>
                    </w:rPr>
                    <w:t>环评类别</w:t>
                  </w:r>
                </w:p>
                <w:p w14:paraId="10BD1106">
                  <w:pPr>
                    <w:spacing w:line="240" w:lineRule="auto"/>
                    <w:ind w:firstLine="0" w:firstLineChars="0"/>
                    <w:rPr>
                      <w:b/>
                      <w:bCs/>
                      <w:sz w:val="21"/>
                      <w:szCs w:val="21"/>
                      <w:lang w:val="zh-CN"/>
                    </w:rPr>
                  </w:pPr>
                  <w:r>
                    <w:rPr>
                      <w:b/>
                      <w:bCs/>
                      <w:sz w:val="21"/>
                      <w:szCs w:val="21"/>
                      <w:lang w:val="zh-CN"/>
                    </w:rPr>
                    <w:t xml:space="preserve">项目类别 </w:t>
                  </w:r>
                </w:p>
              </w:tc>
              <w:tc>
                <w:tcPr>
                  <w:tcW w:w="1131" w:type="pct"/>
                  <w:shd w:val="clear" w:color="auto" w:fill="auto"/>
                  <w:vAlign w:val="center"/>
                </w:tcPr>
                <w:p w14:paraId="794BEE0E">
                  <w:pPr>
                    <w:spacing w:line="240" w:lineRule="auto"/>
                    <w:ind w:firstLine="0" w:firstLineChars="0"/>
                    <w:jc w:val="center"/>
                    <w:rPr>
                      <w:b/>
                      <w:bCs/>
                      <w:sz w:val="21"/>
                      <w:szCs w:val="21"/>
                      <w:lang w:val="zh-CN"/>
                    </w:rPr>
                  </w:pPr>
                  <w:r>
                    <w:rPr>
                      <w:b/>
                      <w:bCs/>
                      <w:sz w:val="21"/>
                      <w:szCs w:val="21"/>
                      <w:lang w:val="zh-CN"/>
                    </w:rPr>
                    <w:t>报告书</w:t>
                  </w:r>
                </w:p>
              </w:tc>
              <w:tc>
                <w:tcPr>
                  <w:tcW w:w="1342" w:type="pct"/>
                  <w:shd w:val="clear" w:color="auto" w:fill="D7D7D7"/>
                  <w:vAlign w:val="center"/>
                </w:tcPr>
                <w:p w14:paraId="7AE89D65">
                  <w:pPr>
                    <w:spacing w:line="240" w:lineRule="auto"/>
                    <w:ind w:firstLine="0" w:firstLineChars="0"/>
                    <w:jc w:val="center"/>
                    <w:rPr>
                      <w:b/>
                      <w:bCs/>
                      <w:sz w:val="21"/>
                      <w:szCs w:val="21"/>
                      <w:lang w:val="zh-CN"/>
                    </w:rPr>
                  </w:pPr>
                  <w:r>
                    <w:rPr>
                      <w:b/>
                      <w:bCs/>
                      <w:sz w:val="21"/>
                      <w:szCs w:val="21"/>
                      <w:lang w:val="zh-CN"/>
                    </w:rPr>
                    <w:t>报告表</w:t>
                  </w:r>
                </w:p>
              </w:tc>
              <w:tc>
                <w:tcPr>
                  <w:tcW w:w="803" w:type="pct"/>
                  <w:vAlign w:val="center"/>
                </w:tcPr>
                <w:p w14:paraId="70274C8C">
                  <w:pPr>
                    <w:spacing w:line="240" w:lineRule="auto"/>
                    <w:ind w:firstLine="0" w:firstLineChars="0"/>
                    <w:jc w:val="center"/>
                    <w:rPr>
                      <w:b/>
                      <w:bCs/>
                      <w:sz w:val="21"/>
                      <w:szCs w:val="21"/>
                      <w:lang w:val="zh-CN"/>
                    </w:rPr>
                  </w:pPr>
                  <w:r>
                    <w:rPr>
                      <w:b/>
                      <w:bCs/>
                      <w:sz w:val="21"/>
                      <w:szCs w:val="21"/>
                      <w:lang w:val="zh-CN"/>
                    </w:rPr>
                    <w:t>登记表</w:t>
                  </w:r>
                </w:p>
              </w:tc>
            </w:tr>
            <w:tr w14:paraId="6B3189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9" w:hRule="atLeast"/>
                <w:jc w:val="center"/>
              </w:trPr>
              <w:tc>
                <w:tcPr>
                  <w:tcW w:w="5000" w:type="pct"/>
                  <w:gridSpan w:val="5"/>
                  <w:shd w:val="clear" w:color="auto" w:fill="D7D7D7"/>
                  <w:vAlign w:val="center"/>
                </w:tcPr>
                <w:p w14:paraId="7E0DB23D">
                  <w:pPr>
                    <w:spacing w:line="240" w:lineRule="auto"/>
                    <w:ind w:firstLine="0" w:firstLineChars="0"/>
                    <w:rPr>
                      <w:sz w:val="21"/>
                      <w:szCs w:val="21"/>
                    </w:rPr>
                  </w:pPr>
                  <w:r>
                    <w:rPr>
                      <w:rFonts w:hint="eastAsia"/>
                      <w:sz w:val="21"/>
                      <w:szCs w:val="21"/>
                    </w:rPr>
                    <w:t>二十七、非金属矿物制品业30</w:t>
                  </w:r>
                </w:p>
              </w:tc>
            </w:tr>
            <w:tr w14:paraId="73F6FA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07" w:hRule="atLeast"/>
                <w:jc w:val="center"/>
              </w:trPr>
              <w:tc>
                <w:tcPr>
                  <w:tcW w:w="314" w:type="pct"/>
                  <w:shd w:val="clear" w:color="auto" w:fill="auto"/>
                  <w:vAlign w:val="center"/>
                </w:tcPr>
                <w:p w14:paraId="2ED47F06">
                  <w:pPr>
                    <w:spacing w:line="240" w:lineRule="auto"/>
                    <w:ind w:firstLine="0" w:firstLineChars="0"/>
                    <w:jc w:val="center"/>
                    <w:rPr>
                      <w:sz w:val="21"/>
                      <w:szCs w:val="21"/>
                    </w:rPr>
                  </w:pPr>
                  <w:r>
                    <w:rPr>
                      <w:rFonts w:hint="eastAsia"/>
                      <w:sz w:val="21"/>
                      <w:szCs w:val="21"/>
                    </w:rPr>
                    <w:t>56</w:t>
                  </w:r>
                </w:p>
              </w:tc>
              <w:tc>
                <w:tcPr>
                  <w:tcW w:w="1407" w:type="pct"/>
                  <w:shd w:val="clear" w:color="auto" w:fill="auto"/>
                  <w:vAlign w:val="center"/>
                </w:tcPr>
                <w:p w14:paraId="2D359BB9">
                  <w:pPr>
                    <w:spacing w:line="240" w:lineRule="auto"/>
                    <w:ind w:firstLine="0" w:firstLineChars="0"/>
                    <w:jc w:val="center"/>
                    <w:rPr>
                      <w:sz w:val="21"/>
                      <w:szCs w:val="21"/>
                    </w:rPr>
                  </w:pPr>
                  <w:r>
                    <w:rPr>
                      <w:rFonts w:hint="eastAsia"/>
                      <w:sz w:val="21"/>
                      <w:szCs w:val="21"/>
                    </w:rPr>
                    <w:t>砖瓦、石材等建筑材料制造303</w:t>
                  </w:r>
                </w:p>
              </w:tc>
              <w:tc>
                <w:tcPr>
                  <w:tcW w:w="1131" w:type="pct"/>
                  <w:shd w:val="clear" w:color="auto" w:fill="auto"/>
                  <w:vAlign w:val="center"/>
                </w:tcPr>
                <w:p w14:paraId="1155674F">
                  <w:pPr>
                    <w:spacing w:line="240" w:lineRule="auto"/>
                    <w:ind w:firstLine="0" w:firstLineChars="0"/>
                    <w:jc w:val="center"/>
                    <w:rPr>
                      <w:sz w:val="21"/>
                      <w:szCs w:val="21"/>
                    </w:rPr>
                  </w:pPr>
                  <w:r>
                    <w:rPr>
                      <w:rFonts w:hint="eastAsia"/>
                      <w:sz w:val="21"/>
                      <w:szCs w:val="21"/>
                    </w:rPr>
                    <w:t>/</w:t>
                  </w:r>
                </w:p>
              </w:tc>
              <w:tc>
                <w:tcPr>
                  <w:tcW w:w="1342" w:type="pct"/>
                  <w:shd w:val="clear" w:color="auto" w:fill="D7D7D7"/>
                  <w:vAlign w:val="center"/>
                </w:tcPr>
                <w:p w14:paraId="7B7AA890">
                  <w:pPr>
                    <w:spacing w:line="240" w:lineRule="auto"/>
                    <w:ind w:firstLine="0" w:firstLineChars="0"/>
                    <w:jc w:val="center"/>
                    <w:rPr>
                      <w:sz w:val="21"/>
                      <w:szCs w:val="21"/>
                      <w:lang w:val="zh-CN"/>
                    </w:rPr>
                  </w:pPr>
                  <w:r>
                    <w:rPr>
                      <w:rFonts w:hint="eastAsia"/>
                      <w:sz w:val="21"/>
                      <w:szCs w:val="21"/>
                      <w:shd w:val="clear" w:color="auto" w:fill="FFFFFF"/>
                      <w:lang w:val="zh-CN"/>
                    </w:rPr>
                    <w:t>粘土砖瓦及建筑砌块制造；建筑用石加工；防水建筑材料制造；隔热、隔音材料制造；其他建筑材料制造（含干粉砂浆搅拌站）以上均不含利用石材板材切割、打磨、成型的</w:t>
                  </w:r>
                </w:p>
              </w:tc>
              <w:tc>
                <w:tcPr>
                  <w:tcW w:w="803" w:type="pct"/>
                  <w:vAlign w:val="center"/>
                </w:tcPr>
                <w:p w14:paraId="5C0260B6">
                  <w:pPr>
                    <w:spacing w:line="240" w:lineRule="auto"/>
                    <w:ind w:firstLine="0" w:firstLineChars="0"/>
                    <w:jc w:val="center"/>
                    <w:rPr>
                      <w:sz w:val="21"/>
                      <w:szCs w:val="21"/>
                    </w:rPr>
                  </w:pPr>
                  <w:r>
                    <w:rPr>
                      <w:rFonts w:hint="eastAsia"/>
                      <w:sz w:val="21"/>
                      <w:szCs w:val="21"/>
                    </w:rPr>
                    <w:t>/</w:t>
                  </w:r>
                </w:p>
              </w:tc>
            </w:tr>
          </w:tbl>
          <w:p w14:paraId="17B44B2D">
            <w:pPr>
              <w:keepNext/>
              <w:keepLines/>
              <w:ind w:firstLine="0" w:firstLineChars="0"/>
              <w:jc w:val="left"/>
              <w:outlineLvl w:val="2"/>
              <w:rPr>
                <w:b/>
                <w:bCs/>
                <w:sz w:val="28"/>
                <w:szCs w:val="32"/>
              </w:rPr>
            </w:pPr>
          </w:p>
          <w:p w14:paraId="28058AE2">
            <w:pPr>
              <w:keepNext/>
              <w:keepLines/>
              <w:ind w:firstLine="0" w:firstLineChars="0"/>
              <w:jc w:val="left"/>
              <w:outlineLvl w:val="2"/>
              <w:rPr>
                <w:b/>
                <w:bCs/>
                <w:sz w:val="28"/>
                <w:szCs w:val="32"/>
              </w:rPr>
            </w:pPr>
            <w:r>
              <w:rPr>
                <w:rFonts w:hint="eastAsia"/>
                <w:b/>
                <w:bCs/>
                <w:sz w:val="28"/>
                <w:szCs w:val="32"/>
              </w:rPr>
              <w:t>2.1.2</w:t>
            </w:r>
            <w:r>
              <w:rPr>
                <w:b/>
                <w:bCs/>
                <w:sz w:val="28"/>
                <w:szCs w:val="32"/>
              </w:rPr>
              <w:t>项目</w:t>
            </w:r>
            <w:r>
              <w:rPr>
                <w:rFonts w:hint="eastAsia"/>
                <w:b/>
                <w:bCs/>
                <w:sz w:val="28"/>
                <w:szCs w:val="32"/>
              </w:rPr>
              <w:t>基本情况</w:t>
            </w:r>
          </w:p>
          <w:p w14:paraId="4ED0F869">
            <w:pPr>
              <w:ind w:firstLine="480"/>
            </w:pPr>
            <w:r>
              <w:t>项目名称：</w:t>
            </w:r>
            <w:r>
              <w:rPr>
                <w:rFonts w:hint="eastAsia"/>
              </w:rPr>
              <w:t>福建省迈客邦建材有限公司</w:t>
            </w:r>
            <w:r>
              <w:t>年产</w:t>
            </w:r>
            <w:r>
              <w:rPr>
                <w:rFonts w:hint="eastAsia"/>
              </w:rPr>
              <w:t>3</w:t>
            </w:r>
            <w:r>
              <w:t>0000吨干粉</w:t>
            </w:r>
            <w:r>
              <w:rPr>
                <w:rFonts w:hint="eastAsia"/>
              </w:rPr>
              <w:t>砂浆项</w:t>
            </w:r>
            <w:r>
              <w:t>目</w:t>
            </w:r>
          </w:p>
          <w:p w14:paraId="434B72A5">
            <w:pPr>
              <w:ind w:firstLine="480"/>
            </w:pPr>
            <w:r>
              <w:t>建设单位：</w:t>
            </w:r>
            <w:r>
              <w:rPr>
                <w:rFonts w:hint="eastAsia"/>
              </w:rPr>
              <w:t>福建省迈客邦建材有限公司</w:t>
            </w:r>
          </w:p>
          <w:p w14:paraId="4CFA37F2">
            <w:pPr>
              <w:ind w:firstLine="480"/>
              <w:rPr>
                <w:color w:val="0000FF"/>
              </w:rPr>
            </w:pPr>
            <w:r>
              <w:t>建设地点：</w:t>
            </w:r>
            <w:r>
              <w:rPr>
                <w:rFonts w:hint="eastAsia"/>
              </w:rPr>
              <w:t>福建省福州市闽侯县甘蔗街道陈店湖路18号</w:t>
            </w:r>
          </w:p>
          <w:p w14:paraId="31B92960">
            <w:pPr>
              <w:ind w:firstLine="480"/>
              <w:rPr>
                <w:color w:val="0000FF"/>
              </w:rPr>
            </w:pPr>
            <w:r>
              <w:t>建设性质：</w:t>
            </w:r>
            <w:r>
              <w:rPr>
                <w:rFonts w:hint="eastAsia"/>
              </w:rPr>
              <w:t>新建</w:t>
            </w:r>
          </w:p>
          <w:p w14:paraId="46803E29">
            <w:pPr>
              <w:ind w:firstLine="480"/>
              <w:rPr>
                <w:color w:val="0000FF"/>
              </w:rPr>
            </w:pPr>
            <w:r>
              <w:t>总投资：</w:t>
            </w:r>
            <w:r>
              <w:rPr>
                <w:rFonts w:hint="eastAsia"/>
              </w:rPr>
              <w:t>250</w:t>
            </w:r>
            <w:r>
              <w:t>万</w:t>
            </w:r>
            <w:r>
              <w:rPr>
                <w:rFonts w:hint="eastAsia"/>
              </w:rPr>
              <w:t>元，环保投资：20万元</w:t>
            </w:r>
          </w:p>
          <w:p w14:paraId="001432F8">
            <w:pPr>
              <w:ind w:firstLine="480"/>
            </w:pPr>
            <w:r>
              <w:rPr>
                <w:rFonts w:hint="eastAsia"/>
              </w:rPr>
              <w:t>劳动定员：</w:t>
            </w:r>
            <w:r>
              <w:t>职工人数</w:t>
            </w:r>
            <w:r>
              <w:rPr>
                <w:rFonts w:hint="eastAsia"/>
              </w:rPr>
              <w:t>7</w:t>
            </w:r>
            <w:r>
              <w:t>人，</w:t>
            </w:r>
            <w:r>
              <w:rPr>
                <w:rFonts w:hint="eastAsia"/>
              </w:rPr>
              <w:t>均不住厂；</w:t>
            </w:r>
          </w:p>
          <w:p w14:paraId="2F5C51F6">
            <w:pPr>
              <w:ind w:firstLine="480"/>
              <w:rPr>
                <w:color w:val="0000FF"/>
              </w:rPr>
            </w:pPr>
            <w:r>
              <w:rPr>
                <w:rFonts w:hint="eastAsia"/>
              </w:rPr>
              <w:t>工作制度：</w:t>
            </w:r>
            <w:r>
              <w:t>年工作日</w:t>
            </w:r>
            <w:r>
              <w:rPr>
                <w:rFonts w:hint="eastAsia"/>
              </w:rPr>
              <w:t>300</w:t>
            </w:r>
            <w:r>
              <w:t>天，</w:t>
            </w:r>
            <w:r>
              <w:rPr>
                <w:rFonts w:hint="eastAsia"/>
              </w:rPr>
              <w:t>每天8小时。</w:t>
            </w:r>
          </w:p>
          <w:p w14:paraId="186CC2F1">
            <w:pPr>
              <w:ind w:firstLine="480"/>
            </w:pPr>
            <w:r>
              <w:rPr>
                <w:rFonts w:hint="eastAsia"/>
              </w:rPr>
              <w:t>建设规模：</w:t>
            </w:r>
            <w:r>
              <w:t>年产</w:t>
            </w:r>
            <w:r>
              <w:rPr>
                <w:rFonts w:hint="eastAsia"/>
              </w:rPr>
              <w:t>3</w:t>
            </w:r>
            <w:r>
              <w:t>0000吨干粉</w:t>
            </w:r>
            <w:r>
              <w:rPr>
                <w:rFonts w:hint="eastAsia"/>
              </w:rPr>
              <w:t>砂浆</w:t>
            </w:r>
          </w:p>
          <w:p w14:paraId="5CB0790A">
            <w:pPr>
              <w:keepNext/>
              <w:keepLines/>
              <w:ind w:firstLine="0" w:firstLineChars="0"/>
              <w:jc w:val="left"/>
              <w:outlineLvl w:val="1"/>
              <w:rPr>
                <w:b/>
                <w:bCs/>
                <w:sz w:val="30"/>
                <w:szCs w:val="32"/>
              </w:rPr>
            </w:pPr>
            <w:r>
              <w:rPr>
                <w:b/>
                <w:bCs/>
                <w:sz w:val="30"/>
                <w:szCs w:val="32"/>
              </w:rPr>
              <w:t>2.2 建设内容</w:t>
            </w:r>
          </w:p>
          <w:p w14:paraId="152B5C93">
            <w:pPr>
              <w:ind w:firstLine="480"/>
            </w:pPr>
            <w:r>
              <w:t>本项目主要由主体工程、公用工程和环保工程组成，具体内容详见表</w:t>
            </w:r>
            <w:r>
              <w:rPr>
                <w:rFonts w:hint="eastAsia"/>
              </w:rPr>
              <w:t>2.2-1</w:t>
            </w:r>
            <w:r>
              <w:t>所示</w:t>
            </w:r>
            <w:r>
              <w:rPr>
                <w:rFonts w:hint="eastAsia"/>
              </w:rPr>
              <w:t>。</w:t>
            </w:r>
          </w:p>
          <w:p w14:paraId="303FEF9C">
            <w:pPr>
              <w:spacing w:before="120" w:beforeLines="50" w:line="240" w:lineRule="auto"/>
              <w:ind w:firstLine="482"/>
              <w:jc w:val="center"/>
              <w:rPr>
                <w:b/>
                <w:szCs w:val="21"/>
              </w:rPr>
            </w:pPr>
            <w:r>
              <w:rPr>
                <w:b/>
                <w:szCs w:val="21"/>
              </w:rPr>
              <w:t>表2.2-1  项目</w:t>
            </w:r>
            <w:r>
              <w:rPr>
                <w:rFonts w:hint="eastAsia"/>
                <w:b/>
                <w:szCs w:val="21"/>
              </w:rPr>
              <w:t>主体</w:t>
            </w:r>
            <w:r>
              <w:rPr>
                <w:b/>
                <w:szCs w:val="21"/>
              </w:rPr>
              <w:t>工程组成表</w:t>
            </w:r>
          </w:p>
          <w:tbl>
            <w:tblPr>
              <w:tblStyle w:val="30"/>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41"/>
              <w:gridCol w:w="777"/>
              <w:gridCol w:w="1209"/>
              <w:gridCol w:w="5128"/>
            </w:tblGrid>
            <w:tr w14:paraId="51E327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7" w:hRule="atLeast"/>
                <w:jc w:val="center"/>
              </w:trPr>
              <w:tc>
                <w:tcPr>
                  <w:tcW w:w="584" w:type="pct"/>
                  <w:vAlign w:val="center"/>
                </w:tcPr>
                <w:p w14:paraId="5809617F">
                  <w:pPr>
                    <w:spacing w:line="240" w:lineRule="auto"/>
                    <w:ind w:firstLine="0" w:firstLineChars="0"/>
                    <w:jc w:val="center"/>
                    <w:rPr>
                      <w:b/>
                      <w:bCs/>
                      <w:sz w:val="21"/>
                      <w:szCs w:val="21"/>
                    </w:rPr>
                  </w:pPr>
                  <w:r>
                    <w:rPr>
                      <w:rFonts w:hint="eastAsia"/>
                      <w:b/>
                      <w:bCs/>
                      <w:sz w:val="21"/>
                      <w:szCs w:val="21"/>
                    </w:rPr>
                    <w:t>工程类别</w:t>
                  </w:r>
                </w:p>
              </w:tc>
              <w:tc>
                <w:tcPr>
                  <w:tcW w:w="1232" w:type="pct"/>
                  <w:gridSpan w:val="2"/>
                  <w:vAlign w:val="center"/>
                </w:tcPr>
                <w:p w14:paraId="4F3735FD">
                  <w:pPr>
                    <w:spacing w:line="240" w:lineRule="auto"/>
                    <w:ind w:firstLine="0" w:firstLineChars="0"/>
                    <w:jc w:val="center"/>
                    <w:rPr>
                      <w:b/>
                      <w:bCs/>
                      <w:sz w:val="21"/>
                      <w:szCs w:val="21"/>
                    </w:rPr>
                  </w:pPr>
                  <w:r>
                    <w:rPr>
                      <w:rFonts w:hint="eastAsia"/>
                      <w:b/>
                      <w:bCs/>
                      <w:sz w:val="21"/>
                      <w:szCs w:val="21"/>
                    </w:rPr>
                    <w:t>项目组成</w:t>
                  </w:r>
                </w:p>
              </w:tc>
              <w:tc>
                <w:tcPr>
                  <w:tcW w:w="3182" w:type="pct"/>
                  <w:vAlign w:val="center"/>
                </w:tcPr>
                <w:p w14:paraId="7C6C567B">
                  <w:pPr>
                    <w:spacing w:line="240" w:lineRule="auto"/>
                    <w:ind w:firstLine="0" w:firstLineChars="0"/>
                    <w:jc w:val="center"/>
                    <w:rPr>
                      <w:b/>
                      <w:bCs/>
                      <w:sz w:val="21"/>
                      <w:szCs w:val="21"/>
                    </w:rPr>
                  </w:pPr>
                  <w:r>
                    <w:rPr>
                      <w:rFonts w:hint="eastAsia"/>
                      <w:b/>
                      <w:bCs/>
                      <w:sz w:val="21"/>
                      <w:szCs w:val="21"/>
                    </w:rPr>
                    <w:t>工程内容及规模</w:t>
                  </w:r>
                </w:p>
              </w:tc>
            </w:tr>
            <w:tr w14:paraId="68C1AC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Align w:val="center"/>
                </w:tcPr>
                <w:p w14:paraId="499F9325">
                  <w:pPr>
                    <w:spacing w:line="240" w:lineRule="auto"/>
                    <w:ind w:firstLine="0" w:firstLineChars="0"/>
                    <w:jc w:val="center"/>
                    <w:rPr>
                      <w:sz w:val="21"/>
                      <w:szCs w:val="21"/>
                    </w:rPr>
                  </w:pPr>
                  <w:r>
                    <w:rPr>
                      <w:rFonts w:hint="eastAsia"/>
                      <w:sz w:val="21"/>
                      <w:szCs w:val="21"/>
                    </w:rPr>
                    <w:t>主体工程</w:t>
                  </w:r>
                </w:p>
              </w:tc>
              <w:tc>
                <w:tcPr>
                  <w:tcW w:w="1232" w:type="pct"/>
                  <w:gridSpan w:val="2"/>
                  <w:vAlign w:val="center"/>
                </w:tcPr>
                <w:p w14:paraId="1A49067D">
                  <w:pPr>
                    <w:spacing w:line="240" w:lineRule="auto"/>
                    <w:ind w:firstLine="0" w:firstLineChars="0"/>
                    <w:jc w:val="center"/>
                    <w:rPr>
                      <w:sz w:val="21"/>
                      <w:szCs w:val="21"/>
                    </w:rPr>
                  </w:pPr>
                  <w:r>
                    <w:rPr>
                      <w:rFonts w:hint="eastAsia"/>
                      <w:sz w:val="21"/>
                    </w:rPr>
                    <w:t>厂房</w:t>
                  </w:r>
                </w:p>
              </w:tc>
              <w:tc>
                <w:tcPr>
                  <w:tcW w:w="3182" w:type="pct"/>
                  <w:vAlign w:val="center"/>
                </w:tcPr>
                <w:p w14:paraId="6F878D79">
                  <w:pPr>
                    <w:spacing w:line="240" w:lineRule="auto"/>
                    <w:ind w:firstLine="0" w:firstLineChars="0"/>
                    <w:jc w:val="center"/>
                    <w:rPr>
                      <w:sz w:val="21"/>
                      <w:szCs w:val="21"/>
                      <w:highlight w:val="none"/>
                    </w:rPr>
                  </w:pPr>
                  <w:r>
                    <w:rPr>
                      <w:rFonts w:hint="eastAsia"/>
                      <w:sz w:val="21"/>
                      <w:szCs w:val="21"/>
                      <w:highlight w:val="none"/>
                    </w:rPr>
                    <w:t>车间安装原料储料罐、搅拌机、包装机、搬运机、成品仓等设备</w:t>
                  </w:r>
                </w:p>
              </w:tc>
            </w:tr>
            <w:tr w14:paraId="249C59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restart"/>
                  <w:vAlign w:val="center"/>
                </w:tcPr>
                <w:p w14:paraId="294A4F4C">
                  <w:pPr>
                    <w:spacing w:line="240" w:lineRule="auto"/>
                    <w:ind w:firstLine="0" w:firstLineChars="0"/>
                    <w:jc w:val="center"/>
                    <w:rPr>
                      <w:sz w:val="21"/>
                      <w:szCs w:val="21"/>
                    </w:rPr>
                  </w:pPr>
                  <w:r>
                    <w:rPr>
                      <w:rFonts w:hint="eastAsia"/>
                      <w:sz w:val="21"/>
                      <w:szCs w:val="21"/>
                    </w:rPr>
                    <w:t>公用工程</w:t>
                  </w:r>
                </w:p>
              </w:tc>
              <w:tc>
                <w:tcPr>
                  <w:tcW w:w="482" w:type="pct"/>
                  <w:vMerge w:val="restart"/>
                  <w:vAlign w:val="center"/>
                </w:tcPr>
                <w:p w14:paraId="52B05F99">
                  <w:pPr>
                    <w:spacing w:line="240" w:lineRule="auto"/>
                    <w:ind w:firstLine="0" w:firstLineChars="0"/>
                    <w:jc w:val="center"/>
                    <w:rPr>
                      <w:sz w:val="21"/>
                      <w:szCs w:val="21"/>
                    </w:rPr>
                  </w:pPr>
                  <w:r>
                    <w:rPr>
                      <w:rFonts w:hint="eastAsia"/>
                      <w:sz w:val="21"/>
                      <w:szCs w:val="21"/>
                    </w:rPr>
                    <w:t>给排水</w:t>
                  </w:r>
                </w:p>
              </w:tc>
              <w:tc>
                <w:tcPr>
                  <w:tcW w:w="750" w:type="pct"/>
                  <w:vAlign w:val="center"/>
                </w:tcPr>
                <w:p w14:paraId="213A7EEF">
                  <w:pPr>
                    <w:spacing w:line="240" w:lineRule="auto"/>
                    <w:ind w:firstLine="0" w:firstLineChars="0"/>
                    <w:jc w:val="center"/>
                    <w:rPr>
                      <w:sz w:val="21"/>
                      <w:szCs w:val="21"/>
                    </w:rPr>
                  </w:pPr>
                  <w:r>
                    <w:rPr>
                      <w:rFonts w:hint="eastAsia"/>
                      <w:sz w:val="21"/>
                      <w:szCs w:val="21"/>
                    </w:rPr>
                    <w:t>供水</w:t>
                  </w:r>
                </w:p>
              </w:tc>
              <w:tc>
                <w:tcPr>
                  <w:tcW w:w="3182" w:type="pct"/>
                  <w:vAlign w:val="center"/>
                </w:tcPr>
                <w:p w14:paraId="2F0060EC">
                  <w:pPr>
                    <w:spacing w:line="240" w:lineRule="auto"/>
                    <w:ind w:firstLine="0" w:firstLineChars="0"/>
                    <w:jc w:val="center"/>
                    <w:rPr>
                      <w:sz w:val="21"/>
                      <w:szCs w:val="21"/>
                    </w:rPr>
                  </w:pPr>
                  <w:r>
                    <w:rPr>
                      <w:rFonts w:hint="eastAsia"/>
                      <w:sz w:val="21"/>
                      <w:szCs w:val="21"/>
                    </w:rPr>
                    <w:t>接市政供水管网</w:t>
                  </w:r>
                </w:p>
              </w:tc>
            </w:tr>
            <w:tr w14:paraId="7612C4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continue"/>
                  <w:vAlign w:val="center"/>
                </w:tcPr>
                <w:p w14:paraId="5091309F">
                  <w:pPr>
                    <w:spacing w:line="240" w:lineRule="auto"/>
                    <w:ind w:firstLine="0" w:firstLineChars="0"/>
                    <w:jc w:val="center"/>
                    <w:rPr>
                      <w:sz w:val="21"/>
                      <w:szCs w:val="21"/>
                    </w:rPr>
                  </w:pPr>
                </w:p>
              </w:tc>
              <w:tc>
                <w:tcPr>
                  <w:tcW w:w="482" w:type="pct"/>
                  <w:vMerge w:val="continue"/>
                  <w:vAlign w:val="center"/>
                </w:tcPr>
                <w:p w14:paraId="20BF0763">
                  <w:pPr>
                    <w:spacing w:line="240" w:lineRule="auto"/>
                    <w:ind w:firstLine="0" w:firstLineChars="0"/>
                    <w:jc w:val="center"/>
                    <w:rPr>
                      <w:sz w:val="21"/>
                      <w:szCs w:val="21"/>
                    </w:rPr>
                  </w:pPr>
                </w:p>
              </w:tc>
              <w:tc>
                <w:tcPr>
                  <w:tcW w:w="750" w:type="pct"/>
                  <w:vAlign w:val="center"/>
                </w:tcPr>
                <w:p w14:paraId="0E2F5586">
                  <w:pPr>
                    <w:spacing w:line="240" w:lineRule="auto"/>
                    <w:ind w:firstLine="0" w:firstLineChars="0"/>
                    <w:jc w:val="center"/>
                    <w:rPr>
                      <w:sz w:val="21"/>
                      <w:szCs w:val="21"/>
                    </w:rPr>
                  </w:pPr>
                  <w:r>
                    <w:rPr>
                      <w:rFonts w:hint="eastAsia"/>
                      <w:sz w:val="21"/>
                      <w:szCs w:val="21"/>
                    </w:rPr>
                    <w:t>排水</w:t>
                  </w:r>
                </w:p>
              </w:tc>
              <w:tc>
                <w:tcPr>
                  <w:tcW w:w="3182" w:type="pct"/>
                  <w:vAlign w:val="center"/>
                </w:tcPr>
                <w:p w14:paraId="5AE77802">
                  <w:pPr>
                    <w:spacing w:line="240" w:lineRule="auto"/>
                    <w:ind w:firstLine="0" w:firstLineChars="0"/>
                    <w:jc w:val="center"/>
                    <w:rPr>
                      <w:sz w:val="21"/>
                      <w:szCs w:val="21"/>
                    </w:rPr>
                  </w:pPr>
                  <w:r>
                    <w:rPr>
                      <w:rFonts w:hint="eastAsia"/>
                      <w:sz w:val="21"/>
                      <w:szCs w:val="21"/>
                    </w:rPr>
                    <w:t>生活污水经化粪池预处理后由市政污水管网排放至闽侯县城关污水处理厂</w:t>
                  </w:r>
                </w:p>
              </w:tc>
            </w:tr>
            <w:tr w14:paraId="595237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continue"/>
                  <w:vAlign w:val="center"/>
                </w:tcPr>
                <w:p w14:paraId="65A40E38">
                  <w:pPr>
                    <w:spacing w:line="240" w:lineRule="auto"/>
                    <w:ind w:firstLine="0" w:firstLineChars="0"/>
                    <w:jc w:val="center"/>
                    <w:rPr>
                      <w:color w:val="0000FF"/>
                      <w:sz w:val="21"/>
                      <w:szCs w:val="21"/>
                    </w:rPr>
                  </w:pPr>
                </w:p>
              </w:tc>
              <w:tc>
                <w:tcPr>
                  <w:tcW w:w="1232" w:type="pct"/>
                  <w:gridSpan w:val="2"/>
                  <w:vAlign w:val="center"/>
                </w:tcPr>
                <w:p w14:paraId="65D8F026">
                  <w:pPr>
                    <w:spacing w:line="240" w:lineRule="auto"/>
                    <w:ind w:firstLine="0" w:firstLineChars="0"/>
                    <w:jc w:val="center"/>
                    <w:rPr>
                      <w:sz w:val="21"/>
                      <w:szCs w:val="21"/>
                    </w:rPr>
                  </w:pPr>
                  <w:r>
                    <w:rPr>
                      <w:rFonts w:hint="eastAsia"/>
                      <w:sz w:val="21"/>
                      <w:szCs w:val="21"/>
                    </w:rPr>
                    <w:t>供电</w:t>
                  </w:r>
                </w:p>
              </w:tc>
              <w:tc>
                <w:tcPr>
                  <w:tcW w:w="3182" w:type="pct"/>
                  <w:vAlign w:val="center"/>
                </w:tcPr>
                <w:p w14:paraId="427F5A45">
                  <w:pPr>
                    <w:spacing w:line="240" w:lineRule="auto"/>
                    <w:ind w:firstLine="0" w:firstLineChars="0"/>
                    <w:jc w:val="center"/>
                    <w:rPr>
                      <w:sz w:val="21"/>
                      <w:szCs w:val="21"/>
                    </w:rPr>
                  </w:pPr>
                  <w:r>
                    <w:rPr>
                      <w:rFonts w:hint="eastAsia"/>
                      <w:sz w:val="21"/>
                      <w:szCs w:val="21"/>
                    </w:rPr>
                    <w:t>接市政供电系统</w:t>
                  </w:r>
                </w:p>
              </w:tc>
            </w:tr>
            <w:tr w14:paraId="14CC83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restart"/>
                  <w:vAlign w:val="center"/>
                </w:tcPr>
                <w:p w14:paraId="5CE583AE">
                  <w:pPr>
                    <w:spacing w:line="240" w:lineRule="auto"/>
                    <w:ind w:firstLine="0" w:firstLineChars="0"/>
                    <w:jc w:val="center"/>
                    <w:rPr>
                      <w:sz w:val="21"/>
                      <w:szCs w:val="21"/>
                    </w:rPr>
                  </w:pPr>
                  <w:r>
                    <w:rPr>
                      <w:rFonts w:hint="eastAsia"/>
                      <w:sz w:val="21"/>
                      <w:szCs w:val="21"/>
                    </w:rPr>
                    <w:t>辅助工程</w:t>
                  </w:r>
                </w:p>
              </w:tc>
              <w:tc>
                <w:tcPr>
                  <w:tcW w:w="1232" w:type="pct"/>
                  <w:gridSpan w:val="2"/>
                  <w:vAlign w:val="center"/>
                </w:tcPr>
                <w:p w14:paraId="4038A092">
                  <w:pPr>
                    <w:spacing w:line="240" w:lineRule="auto"/>
                    <w:ind w:firstLine="0" w:firstLineChars="0"/>
                    <w:jc w:val="center"/>
                    <w:rPr>
                      <w:sz w:val="21"/>
                      <w:szCs w:val="21"/>
                    </w:rPr>
                  </w:pPr>
                  <w:r>
                    <w:rPr>
                      <w:rFonts w:hint="eastAsia"/>
                      <w:sz w:val="21"/>
                      <w:szCs w:val="21"/>
                    </w:rPr>
                    <w:t>原料仓库</w:t>
                  </w:r>
                </w:p>
              </w:tc>
              <w:tc>
                <w:tcPr>
                  <w:tcW w:w="3182" w:type="pct"/>
                  <w:vAlign w:val="center"/>
                </w:tcPr>
                <w:p w14:paraId="64CF4C2A">
                  <w:pPr>
                    <w:spacing w:line="240" w:lineRule="auto"/>
                    <w:ind w:firstLine="0" w:firstLineChars="0"/>
                    <w:jc w:val="center"/>
                    <w:rPr>
                      <w:sz w:val="21"/>
                      <w:szCs w:val="21"/>
                      <w:highlight w:val="none"/>
                    </w:rPr>
                  </w:pPr>
                  <w:r>
                    <w:rPr>
                      <w:rFonts w:hint="eastAsia"/>
                      <w:sz w:val="21"/>
                      <w:szCs w:val="21"/>
                      <w:highlight w:val="none"/>
                    </w:rPr>
                    <w:t>用于原辅料的暂存</w:t>
                  </w:r>
                </w:p>
              </w:tc>
            </w:tr>
            <w:tr w14:paraId="3E70D6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continue"/>
                  <w:vAlign w:val="center"/>
                </w:tcPr>
                <w:p w14:paraId="5A09A500">
                  <w:pPr>
                    <w:spacing w:line="240" w:lineRule="auto"/>
                    <w:ind w:firstLine="0" w:firstLineChars="0"/>
                    <w:jc w:val="center"/>
                    <w:rPr>
                      <w:sz w:val="21"/>
                      <w:szCs w:val="21"/>
                    </w:rPr>
                  </w:pPr>
                </w:p>
              </w:tc>
              <w:tc>
                <w:tcPr>
                  <w:tcW w:w="1232" w:type="pct"/>
                  <w:gridSpan w:val="2"/>
                  <w:vAlign w:val="center"/>
                </w:tcPr>
                <w:p w14:paraId="1E57DA53">
                  <w:pPr>
                    <w:spacing w:line="240" w:lineRule="auto"/>
                    <w:ind w:firstLine="0" w:firstLineChars="0"/>
                    <w:jc w:val="center"/>
                    <w:rPr>
                      <w:sz w:val="21"/>
                      <w:szCs w:val="21"/>
                    </w:rPr>
                  </w:pPr>
                  <w:r>
                    <w:rPr>
                      <w:rFonts w:hint="eastAsia"/>
                      <w:sz w:val="21"/>
                      <w:szCs w:val="21"/>
                    </w:rPr>
                    <w:t>成品区</w:t>
                  </w:r>
                </w:p>
              </w:tc>
              <w:tc>
                <w:tcPr>
                  <w:tcW w:w="3182" w:type="pct"/>
                  <w:vAlign w:val="center"/>
                </w:tcPr>
                <w:p w14:paraId="241A26AA">
                  <w:pPr>
                    <w:spacing w:line="240" w:lineRule="auto"/>
                    <w:ind w:firstLine="0" w:firstLineChars="0"/>
                    <w:jc w:val="center"/>
                    <w:rPr>
                      <w:sz w:val="21"/>
                      <w:szCs w:val="21"/>
                      <w:highlight w:val="none"/>
                    </w:rPr>
                  </w:pPr>
                  <w:r>
                    <w:rPr>
                      <w:rFonts w:hint="eastAsia"/>
                      <w:sz w:val="21"/>
                      <w:szCs w:val="21"/>
                      <w:highlight w:val="none"/>
                    </w:rPr>
                    <w:t>用于待转运、出售成品的暂存</w:t>
                  </w:r>
                </w:p>
              </w:tc>
            </w:tr>
            <w:tr w14:paraId="5C4290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restart"/>
                  <w:vAlign w:val="center"/>
                </w:tcPr>
                <w:p w14:paraId="0D35CF5C">
                  <w:pPr>
                    <w:spacing w:line="240" w:lineRule="auto"/>
                    <w:ind w:firstLine="0" w:firstLineChars="0"/>
                    <w:jc w:val="center"/>
                    <w:rPr>
                      <w:color w:val="0000FF"/>
                      <w:sz w:val="21"/>
                      <w:szCs w:val="21"/>
                    </w:rPr>
                  </w:pPr>
                  <w:r>
                    <w:rPr>
                      <w:rFonts w:hint="eastAsia"/>
                      <w:sz w:val="21"/>
                      <w:szCs w:val="21"/>
                    </w:rPr>
                    <w:t>环保工程</w:t>
                  </w:r>
                </w:p>
              </w:tc>
              <w:tc>
                <w:tcPr>
                  <w:tcW w:w="1232" w:type="pct"/>
                  <w:gridSpan w:val="2"/>
                  <w:vAlign w:val="center"/>
                </w:tcPr>
                <w:p w14:paraId="2F3CE350">
                  <w:pPr>
                    <w:spacing w:line="240" w:lineRule="auto"/>
                    <w:ind w:firstLine="0" w:firstLineChars="0"/>
                    <w:jc w:val="center"/>
                    <w:rPr>
                      <w:sz w:val="21"/>
                    </w:rPr>
                  </w:pPr>
                  <w:r>
                    <w:rPr>
                      <w:rFonts w:hint="eastAsia"/>
                      <w:sz w:val="21"/>
                    </w:rPr>
                    <w:t>废水</w:t>
                  </w:r>
                </w:p>
              </w:tc>
              <w:tc>
                <w:tcPr>
                  <w:tcW w:w="3182" w:type="pct"/>
                  <w:vAlign w:val="center"/>
                </w:tcPr>
                <w:p w14:paraId="48C575D0">
                  <w:pPr>
                    <w:spacing w:line="240" w:lineRule="auto"/>
                    <w:ind w:firstLine="0" w:firstLineChars="0"/>
                    <w:jc w:val="center"/>
                    <w:rPr>
                      <w:sz w:val="21"/>
                    </w:rPr>
                  </w:pPr>
                  <w:r>
                    <w:rPr>
                      <w:rFonts w:hint="eastAsia"/>
                      <w:sz w:val="21"/>
                    </w:rPr>
                    <w:t>项目不涉及生产用水；</w:t>
                  </w:r>
                </w:p>
                <w:p w14:paraId="4474BB3C">
                  <w:pPr>
                    <w:spacing w:line="240" w:lineRule="auto"/>
                    <w:ind w:firstLine="0" w:firstLineChars="0"/>
                    <w:jc w:val="center"/>
                    <w:rPr>
                      <w:sz w:val="21"/>
                    </w:rPr>
                  </w:pPr>
                  <w:r>
                    <w:rPr>
                      <w:rFonts w:hint="eastAsia"/>
                      <w:sz w:val="21"/>
                      <w:szCs w:val="21"/>
                    </w:rPr>
                    <w:t>生活污水经化粪池预处理后由市政污水管网排放至闽侯县城关污水处理厂</w:t>
                  </w:r>
                </w:p>
              </w:tc>
            </w:tr>
            <w:tr w14:paraId="093E65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continue"/>
                  <w:vAlign w:val="center"/>
                </w:tcPr>
                <w:p w14:paraId="33973C02">
                  <w:pPr>
                    <w:ind w:firstLine="420"/>
                    <w:jc w:val="center"/>
                    <w:rPr>
                      <w:rFonts w:ascii="Arial"/>
                      <w:color w:val="0000FF"/>
                      <w:sz w:val="21"/>
                    </w:rPr>
                  </w:pPr>
                </w:p>
              </w:tc>
              <w:tc>
                <w:tcPr>
                  <w:tcW w:w="1232" w:type="pct"/>
                  <w:gridSpan w:val="2"/>
                  <w:vAlign w:val="center"/>
                </w:tcPr>
                <w:p w14:paraId="7AAC36DC">
                  <w:pPr>
                    <w:spacing w:line="240" w:lineRule="auto"/>
                    <w:ind w:firstLine="0" w:firstLineChars="0"/>
                    <w:jc w:val="center"/>
                    <w:rPr>
                      <w:sz w:val="21"/>
                    </w:rPr>
                  </w:pPr>
                  <w:r>
                    <w:rPr>
                      <w:rFonts w:hint="eastAsia"/>
                      <w:sz w:val="21"/>
                    </w:rPr>
                    <w:t>废气</w:t>
                  </w:r>
                </w:p>
              </w:tc>
              <w:tc>
                <w:tcPr>
                  <w:tcW w:w="3182" w:type="pct"/>
                  <w:vAlign w:val="center"/>
                </w:tcPr>
                <w:p w14:paraId="64C4C949">
                  <w:pPr>
                    <w:spacing w:line="240" w:lineRule="auto"/>
                    <w:ind w:firstLine="0" w:firstLineChars="0"/>
                    <w:jc w:val="center"/>
                  </w:pPr>
                  <w:r>
                    <w:rPr>
                      <w:rFonts w:hint="eastAsia"/>
                      <w:sz w:val="21"/>
                    </w:rPr>
                    <w:t>储罐呼吸、投料、搅拌、出料包装过程产生的粉尘经半封闭式围挡+集气罩收集后引至1套脉冲布袋除尘器+1根</w:t>
                  </w:r>
                  <w:r>
                    <w:rPr>
                      <w:rFonts w:hint="eastAsia"/>
                      <w:sz w:val="21"/>
                      <w:lang w:val="en-US" w:eastAsia="zh-CN"/>
                    </w:rPr>
                    <w:t>3</w:t>
                  </w:r>
                  <w:r>
                    <w:rPr>
                      <w:rFonts w:hint="eastAsia"/>
                      <w:sz w:val="21"/>
                    </w:rPr>
                    <w:t>0m高排气筒（DA001）达标排放</w:t>
                  </w:r>
                </w:p>
              </w:tc>
            </w:tr>
            <w:tr w14:paraId="00485B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continue"/>
                  <w:vAlign w:val="center"/>
                </w:tcPr>
                <w:p w14:paraId="352EDA6F">
                  <w:pPr>
                    <w:ind w:firstLine="420"/>
                    <w:jc w:val="center"/>
                    <w:rPr>
                      <w:rFonts w:ascii="Arial"/>
                      <w:color w:val="0000FF"/>
                      <w:sz w:val="21"/>
                    </w:rPr>
                  </w:pPr>
                  <w:bookmarkStart w:id="5" w:name="_Toc3600"/>
                  <w:bookmarkStart w:id="6" w:name="_Toc10127"/>
                  <w:bookmarkStart w:id="7" w:name="_Toc8337"/>
                  <w:bookmarkStart w:id="8" w:name="_Toc862"/>
                  <w:bookmarkStart w:id="9" w:name="_Toc32599"/>
                </w:p>
              </w:tc>
              <w:tc>
                <w:tcPr>
                  <w:tcW w:w="1232" w:type="pct"/>
                  <w:gridSpan w:val="2"/>
                  <w:vAlign w:val="center"/>
                </w:tcPr>
                <w:p w14:paraId="10765ACC">
                  <w:pPr>
                    <w:spacing w:line="240" w:lineRule="auto"/>
                    <w:ind w:firstLine="0" w:firstLineChars="0"/>
                    <w:jc w:val="center"/>
                    <w:rPr>
                      <w:sz w:val="21"/>
                      <w:lang w:eastAsia="en-US"/>
                    </w:rPr>
                  </w:pPr>
                  <w:r>
                    <w:rPr>
                      <w:rFonts w:hint="eastAsia"/>
                      <w:sz w:val="21"/>
                    </w:rPr>
                    <w:t>噪声治理</w:t>
                  </w:r>
                </w:p>
              </w:tc>
              <w:tc>
                <w:tcPr>
                  <w:tcW w:w="3182" w:type="pct"/>
                  <w:vAlign w:val="center"/>
                </w:tcPr>
                <w:p w14:paraId="57CE871D">
                  <w:pPr>
                    <w:spacing w:line="240" w:lineRule="auto"/>
                    <w:ind w:firstLine="0" w:firstLineChars="0"/>
                    <w:jc w:val="center"/>
                    <w:rPr>
                      <w:sz w:val="21"/>
                    </w:rPr>
                  </w:pPr>
                  <w:r>
                    <w:rPr>
                      <w:rFonts w:hint="eastAsia"/>
                      <w:sz w:val="21"/>
                    </w:rPr>
                    <w:t>选用低噪声设备、采取隔声、减振等措施</w:t>
                  </w:r>
                </w:p>
              </w:tc>
            </w:tr>
            <w:tr w14:paraId="06FB53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continue"/>
                  <w:vAlign w:val="center"/>
                </w:tcPr>
                <w:p w14:paraId="2361011A">
                  <w:pPr>
                    <w:ind w:firstLine="420"/>
                    <w:jc w:val="center"/>
                    <w:rPr>
                      <w:rFonts w:ascii="Arial"/>
                      <w:color w:val="0000FF"/>
                      <w:sz w:val="21"/>
                    </w:rPr>
                  </w:pPr>
                </w:p>
              </w:tc>
              <w:tc>
                <w:tcPr>
                  <w:tcW w:w="482" w:type="pct"/>
                  <w:vMerge w:val="restart"/>
                  <w:vAlign w:val="center"/>
                </w:tcPr>
                <w:p w14:paraId="26BF0165">
                  <w:pPr>
                    <w:spacing w:line="240" w:lineRule="auto"/>
                    <w:ind w:firstLine="0" w:firstLineChars="0"/>
                    <w:jc w:val="center"/>
                    <w:rPr>
                      <w:sz w:val="21"/>
                    </w:rPr>
                  </w:pPr>
                  <w:r>
                    <w:rPr>
                      <w:rFonts w:hint="eastAsia"/>
                      <w:sz w:val="21"/>
                    </w:rPr>
                    <w:t>固体</w:t>
                  </w:r>
                </w:p>
                <w:p w14:paraId="08B8DF40">
                  <w:pPr>
                    <w:spacing w:line="240" w:lineRule="auto"/>
                    <w:ind w:firstLine="0" w:firstLineChars="0"/>
                    <w:jc w:val="center"/>
                    <w:rPr>
                      <w:sz w:val="21"/>
                    </w:rPr>
                  </w:pPr>
                  <w:r>
                    <w:rPr>
                      <w:rFonts w:hint="eastAsia"/>
                      <w:sz w:val="21"/>
                    </w:rPr>
                    <w:t>废物</w:t>
                  </w:r>
                </w:p>
              </w:tc>
              <w:tc>
                <w:tcPr>
                  <w:tcW w:w="750" w:type="pct"/>
                  <w:vAlign w:val="center"/>
                </w:tcPr>
                <w:p w14:paraId="3E8ECB5D">
                  <w:pPr>
                    <w:spacing w:line="240" w:lineRule="auto"/>
                    <w:ind w:firstLine="0" w:firstLineChars="0"/>
                    <w:jc w:val="center"/>
                    <w:rPr>
                      <w:sz w:val="21"/>
                    </w:rPr>
                  </w:pPr>
                  <w:r>
                    <w:rPr>
                      <w:rFonts w:hint="eastAsia"/>
                      <w:sz w:val="21"/>
                    </w:rPr>
                    <w:t>一般工业固 体废物</w:t>
                  </w:r>
                </w:p>
              </w:tc>
              <w:tc>
                <w:tcPr>
                  <w:tcW w:w="3182" w:type="pct"/>
                  <w:vAlign w:val="center"/>
                </w:tcPr>
                <w:p w14:paraId="64022D97">
                  <w:pPr>
                    <w:spacing w:line="240" w:lineRule="auto"/>
                    <w:ind w:firstLine="0" w:firstLineChars="0"/>
                    <w:jc w:val="center"/>
                    <w:rPr>
                      <w:sz w:val="21"/>
                    </w:rPr>
                  </w:pPr>
                  <w:r>
                    <w:rPr>
                      <w:rFonts w:hint="eastAsia"/>
                      <w:sz w:val="21"/>
                    </w:rPr>
                    <w:t>拟设置规范化的一般工业固体废物暂存区（10m</w:t>
                  </w:r>
                  <w:r>
                    <w:rPr>
                      <w:rFonts w:hint="eastAsia"/>
                      <w:sz w:val="21"/>
                      <w:vertAlign w:val="superscript"/>
                    </w:rPr>
                    <w:t>2</w:t>
                  </w:r>
                  <w:r>
                    <w:rPr>
                      <w:rFonts w:hint="eastAsia"/>
                      <w:sz w:val="21"/>
                    </w:rPr>
                    <w:t>），一般工业固废分类收集、暂存后回用或外售综合利用</w:t>
                  </w:r>
                </w:p>
              </w:tc>
            </w:tr>
            <w:tr w14:paraId="3F849B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4" w:type="pct"/>
                  <w:vMerge w:val="continue"/>
                  <w:vAlign w:val="center"/>
                </w:tcPr>
                <w:p w14:paraId="7C410CB3">
                  <w:pPr>
                    <w:ind w:firstLine="420"/>
                    <w:jc w:val="center"/>
                    <w:rPr>
                      <w:rFonts w:ascii="Arial"/>
                      <w:color w:val="0000FF"/>
                      <w:sz w:val="21"/>
                    </w:rPr>
                  </w:pPr>
                </w:p>
              </w:tc>
              <w:tc>
                <w:tcPr>
                  <w:tcW w:w="482" w:type="pct"/>
                  <w:vMerge w:val="continue"/>
                  <w:textDirection w:val="tbRlV"/>
                  <w:vAlign w:val="center"/>
                </w:tcPr>
                <w:p w14:paraId="3F89DF65">
                  <w:pPr>
                    <w:spacing w:line="240" w:lineRule="auto"/>
                    <w:ind w:firstLine="0" w:firstLineChars="0"/>
                    <w:jc w:val="center"/>
                    <w:rPr>
                      <w:sz w:val="21"/>
                    </w:rPr>
                  </w:pPr>
                </w:p>
              </w:tc>
              <w:tc>
                <w:tcPr>
                  <w:tcW w:w="750" w:type="pct"/>
                  <w:vAlign w:val="center"/>
                </w:tcPr>
                <w:p w14:paraId="420D66E8">
                  <w:pPr>
                    <w:spacing w:line="240" w:lineRule="auto"/>
                    <w:ind w:firstLine="0" w:firstLineChars="0"/>
                    <w:jc w:val="center"/>
                    <w:rPr>
                      <w:sz w:val="21"/>
                    </w:rPr>
                  </w:pPr>
                  <w:r>
                    <w:rPr>
                      <w:rFonts w:hint="eastAsia"/>
                      <w:sz w:val="21"/>
                    </w:rPr>
                    <w:t>生活垃圾</w:t>
                  </w:r>
                </w:p>
              </w:tc>
              <w:tc>
                <w:tcPr>
                  <w:tcW w:w="3182" w:type="pct"/>
                  <w:vAlign w:val="center"/>
                </w:tcPr>
                <w:p w14:paraId="0109A48F">
                  <w:pPr>
                    <w:spacing w:line="240" w:lineRule="auto"/>
                    <w:ind w:firstLine="0" w:firstLineChars="0"/>
                    <w:jc w:val="center"/>
                    <w:rPr>
                      <w:sz w:val="21"/>
                    </w:rPr>
                  </w:pPr>
                  <w:r>
                    <w:rPr>
                      <w:rFonts w:hint="eastAsia"/>
                      <w:sz w:val="21"/>
                    </w:rPr>
                    <w:t>设置生活垃圾桶，统一收集后，全部委托环卫部门每日清运处置</w:t>
                  </w:r>
                </w:p>
              </w:tc>
            </w:tr>
          </w:tbl>
          <w:p w14:paraId="32A69520">
            <w:pPr>
              <w:keepNext/>
              <w:keepLines/>
              <w:ind w:firstLine="0" w:firstLineChars="0"/>
              <w:jc w:val="left"/>
              <w:outlineLvl w:val="1"/>
              <w:rPr>
                <w:b/>
                <w:bCs/>
                <w:sz w:val="30"/>
                <w:szCs w:val="32"/>
              </w:rPr>
            </w:pPr>
            <w:r>
              <w:rPr>
                <w:rFonts w:hint="eastAsia"/>
                <w:b/>
                <w:bCs/>
                <w:sz w:val="30"/>
                <w:szCs w:val="32"/>
              </w:rPr>
              <w:t>2.3 主要原辅材料及生产设备</w:t>
            </w:r>
            <w:bookmarkEnd w:id="5"/>
            <w:bookmarkEnd w:id="6"/>
            <w:bookmarkEnd w:id="7"/>
            <w:bookmarkEnd w:id="8"/>
            <w:bookmarkEnd w:id="9"/>
          </w:p>
          <w:p w14:paraId="0A0A7E05">
            <w:pPr>
              <w:ind w:firstLine="482"/>
              <w:rPr>
                <w:b/>
                <w:bCs/>
              </w:rPr>
            </w:pPr>
            <w:r>
              <w:rPr>
                <w:rFonts w:hint="eastAsia"/>
                <w:b/>
                <w:bCs/>
              </w:rPr>
              <w:t>（1）</w:t>
            </w:r>
            <w:r>
              <w:rPr>
                <w:b/>
                <w:bCs/>
              </w:rPr>
              <w:t>主要产品、原辅材料</w:t>
            </w:r>
          </w:p>
          <w:p w14:paraId="44E28A19">
            <w:pPr>
              <w:ind w:firstLine="480"/>
            </w:pPr>
            <w:r>
              <w:t>本项目主要生产产品、原辅材料及能源消耗详见表</w:t>
            </w:r>
            <w:r>
              <w:rPr>
                <w:rFonts w:hint="eastAsia"/>
              </w:rPr>
              <w:t>2.3-1</w:t>
            </w:r>
            <w:r>
              <w:t>，部分主要原辅材料性质详见表</w:t>
            </w:r>
            <w:r>
              <w:rPr>
                <w:rFonts w:hint="eastAsia"/>
              </w:rPr>
              <w:t>2.3-2</w:t>
            </w:r>
            <w:r>
              <w:t>。</w:t>
            </w:r>
          </w:p>
          <w:p w14:paraId="47AA0475">
            <w:pPr>
              <w:spacing w:before="120" w:beforeLines="50" w:line="240" w:lineRule="auto"/>
              <w:ind w:firstLine="482"/>
              <w:jc w:val="center"/>
              <w:rPr>
                <w:b/>
                <w:szCs w:val="21"/>
              </w:rPr>
            </w:pPr>
            <w:r>
              <w:rPr>
                <w:rFonts w:hint="eastAsia"/>
                <w:b/>
                <w:szCs w:val="21"/>
              </w:rPr>
              <w:t xml:space="preserve">表2.3-1 </w:t>
            </w:r>
            <w:r>
              <w:rPr>
                <w:b/>
                <w:szCs w:val="21"/>
              </w:rPr>
              <w:t>主要产品、原辅材料一览表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1658"/>
              <w:gridCol w:w="1297"/>
              <w:gridCol w:w="1431"/>
              <w:gridCol w:w="2855"/>
            </w:tblGrid>
            <w:tr w14:paraId="56939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5" w:type="pct"/>
                  <w:tcBorders>
                    <w:tl2br w:val="nil"/>
                    <w:tr2bl w:val="nil"/>
                  </w:tcBorders>
                  <w:vAlign w:val="center"/>
                </w:tcPr>
                <w:p w14:paraId="045F0659">
                  <w:pPr>
                    <w:spacing w:line="240" w:lineRule="auto"/>
                    <w:ind w:firstLine="0" w:firstLineChars="0"/>
                    <w:jc w:val="center"/>
                    <w:rPr>
                      <w:sz w:val="21"/>
                      <w:szCs w:val="21"/>
                    </w:rPr>
                  </w:pPr>
                  <w:r>
                    <w:rPr>
                      <w:sz w:val="21"/>
                      <w:szCs w:val="21"/>
                    </w:rPr>
                    <w:t>类别</w:t>
                  </w:r>
                </w:p>
              </w:tc>
              <w:tc>
                <w:tcPr>
                  <w:tcW w:w="1029" w:type="pct"/>
                  <w:tcBorders>
                    <w:tl2br w:val="nil"/>
                    <w:tr2bl w:val="nil"/>
                  </w:tcBorders>
                  <w:vAlign w:val="center"/>
                </w:tcPr>
                <w:p w14:paraId="724DAD29">
                  <w:pPr>
                    <w:spacing w:line="240" w:lineRule="auto"/>
                    <w:ind w:firstLine="0" w:firstLineChars="0"/>
                    <w:jc w:val="center"/>
                    <w:rPr>
                      <w:sz w:val="21"/>
                      <w:szCs w:val="21"/>
                    </w:rPr>
                  </w:pPr>
                  <w:r>
                    <w:rPr>
                      <w:sz w:val="21"/>
                      <w:szCs w:val="21"/>
                    </w:rPr>
                    <w:t>名称</w:t>
                  </w:r>
                </w:p>
              </w:tc>
              <w:tc>
                <w:tcPr>
                  <w:tcW w:w="805" w:type="pct"/>
                  <w:tcBorders>
                    <w:tl2br w:val="nil"/>
                    <w:tr2bl w:val="nil"/>
                  </w:tcBorders>
                  <w:vAlign w:val="center"/>
                </w:tcPr>
                <w:p w14:paraId="76041F41">
                  <w:pPr>
                    <w:spacing w:line="240" w:lineRule="auto"/>
                    <w:ind w:firstLine="0" w:firstLineChars="0"/>
                    <w:jc w:val="center"/>
                    <w:rPr>
                      <w:sz w:val="21"/>
                      <w:szCs w:val="21"/>
                    </w:rPr>
                  </w:pPr>
                  <w:r>
                    <w:rPr>
                      <w:sz w:val="21"/>
                      <w:szCs w:val="21"/>
                    </w:rPr>
                    <w:t>单位</w:t>
                  </w:r>
                  <w:r>
                    <w:rPr>
                      <w:rFonts w:hint="eastAsia"/>
                      <w:sz w:val="21"/>
                      <w:szCs w:val="21"/>
                    </w:rPr>
                    <w:t>/a</w:t>
                  </w:r>
                </w:p>
              </w:tc>
              <w:tc>
                <w:tcPr>
                  <w:tcW w:w="888" w:type="pct"/>
                  <w:tcBorders>
                    <w:tl2br w:val="nil"/>
                    <w:tr2bl w:val="nil"/>
                  </w:tcBorders>
                  <w:vAlign w:val="center"/>
                </w:tcPr>
                <w:p w14:paraId="42538948">
                  <w:pPr>
                    <w:spacing w:line="240" w:lineRule="auto"/>
                    <w:ind w:firstLine="0" w:firstLineChars="0"/>
                    <w:jc w:val="center"/>
                    <w:rPr>
                      <w:sz w:val="21"/>
                      <w:szCs w:val="21"/>
                    </w:rPr>
                  </w:pPr>
                  <w:r>
                    <w:rPr>
                      <w:rFonts w:hint="eastAsia"/>
                      <w:sz w:val="21"/>
                      <w:szCs w:val="21"/>
                    </w:rPr>
                    <w:t>年用量</w:t>
                  </w:r>
                </w:p>
              </w:tc>
              <w:tc>
                <w:tcPr>
                  <w:tcW w:w="1771" w:type="pct"/>
                  <w:tcBorders>
                    <w:tl2br w:val="nil"/>
                    <w:tr2bl w:val="nil"/>
                  </w:tcBorders>
                  <w:vAlign w:val="center"/>
                </w:tcPr>
                <w:p w14:paraId="1F54046E">
                  <w:pPr>
                    <w:spacing w:line="240" w:lineRule="auto"/>
                    <w:ind w:firstLine="0" w:firstLineChars="0"/>
                    <w:jc w:val="center"/>
                    <w:rPr>
                      <w:sz w:val="21"/>
                      <w:szCs w:val="21"/>
                    </w:rPr>
                  </w:pPr>
                  <w:r>
                    <w:rPr>
                      <w:rFonts w:hint="eastAsia"/>
                      <w:sz w:val="21"/>
                      <w:szCs w:val="21"/>
                    </w:rPr>
                    <w:t>备注</w:t>
                  </w:r>
                </w:p>
              </w:tc>
            </w:tr>
            <w:tr w14:paraId="2D3AF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5" w:type="pct"/>
                  <w:vMerge w:val="restart"/>
                  <w:tcBorders>
                    <w:tl2br w:val="nil"/>
                    <w:tr2bl w:val="nil"/>
                  </w:tcBorders>
                  <w:vAlign w:val="center"/>
                </w:tcPr>
                <w:p w14:paraId="0C17B9E1">
                  <w:pPr>
                    <w:spacing w:line="240" w:lineRule="auto"/>
                    <w:ind w:firstLine="0" w:firstLineChars="0"/>
                    <w:jc w:val="center"/>
                    <w:rPr>
                      <w:sz w:val="21"/>
                      <w:szCs w:val="21"/>
                    </w:rPr>
                  </w:pPr>
                  <w:r>
                    <w:rPr>
                      <w:rFonts w:hint="eastAsia"/>
                      <w:sz w:val="21"/>
                      <w:szCs w:val="21"/>
                    </w:rPr>
                    <w:t>原辅材料</w:t>
                  </w:r>
                </w:p>
              </w:tc>
              <w:tc>
                <w:tcPr>
                  <w:tcW w:w="1029" w:type="pct"/>
                  <w:tcBorders>
                    <w:tl2br w:val="nil"/>
                    <w:tr2bl w:val="nil"/>
                  </w:tcBorders>
                  <w:vAlign w:val="center"/>
                </w:tcPr>
                <w:p w14:paraId="1F73838F">
                  <w:pPr>
                    <w:spacing w:line="240" w:lineRule="auto"/>
                    <w:ind w:firstLine="0" w:firstLineChars="0"/>
                    <w:jc w:val="center"/>
                    <w:rPr>
                      <w:sz w:val="21"/>
                      <w:szCs w:val="21"/>
                    </w:rPr>
                  </w:pPr>
                  <w:r>
                    <w:rPr>
                      <w:sz w:val="21"/>
                      <w:szCs w:val="21"/>
                    </w:rPr>
                    <w:t>黑水泥</w:t>
                  </w:r>
                </w:p>
              </w:tc>
              <w:tc>
                <w:tcPr>
                  <w:tcW w:w="805" w:type="pct"/>
                  <w:tcBorders>
                    <w:tl2br w:val="nil"/>
                    <w:tr2bl w:val="nil"/>
                  </w:tcBorders>
                  <w:vAlign w:val="center"/>
                </w:tcPr>
                <w:p w14:paraId="010ADC03">
                  <w:pPr>
                    <w:spacing w:line="240" w:lineRule="auto"/>
                    <w:ind w:firstLine="0" w:firstLineChars="0"/>
                    <w:jc w:val="center"/>
                    <w:rPr>
                      <w:sz w:val="21"/>
                      <w:szCs w:val="21"/>
                    </w:rPr>
                  </w:pPr>
                  <w:r>
                    <w:rPr>
                      <w:sz w:val="21"/>
                      <w:szCs w:val="21"/>
                    </w:rPr>
                    <w:t>吨</w:t>
                  </w:r>
                </w:p>
              </w:tc>
              <w:tc>
                <w:tcPr>
                  <w:tcW w:w="888" w:type="pct"/>
                  <w:tcBorders>
                    <w:tl2br w:val="nil"/>
                    <w:tr2bl w:val="nil"/>
                  </w:tcBorders>
                  <w:vAlign w:val="center"/>
                </w:tcPr>
                <w:p w14:paraId="0D54930B">
                  <w:pPr>
                    <w:spacing w:line="240" w:lineRule="auto"/>
                    <w:ind w:firstLine="0" w:firstLineChars="0"/>
                    <w:jc w:val="center"/>
                    <w:rPr>
                      <w:sz w:val="21"/>
                      <w:szCs w:val="21"/>
                    </w:rPr>
                  </w:pPr>
                  <w:r>
                    <w:rPr>
                      <w:rFonts w:hint="eastAsia"/>
                      <w:sz w:val="21"/>
                      <w:szCs w:val="21"/>
                    </w:rPr>
                    <w:t>5000</w:t>
                  </w:r>
                </w:p>
              </w:tc>
              <w:tc>
                <w:tcPr>
                  <w:tcW w:w="1771" w:type="pct"/>
                  <w:tcBorders>
                    <w:tl2br w:val="nil"/>
                    <w:tr2bl w:val="nil"/>
                  </w:tcBorders>
                  <w:vAlign w:val="center"/>
                </w:tcPr>
                <w:p w14:paraId="62992EDA">
                  <w:pPr>
                    <w:spacing w:line="240" w:lineRule="auto"/>
                    <w:ind w:firstLine="0" w:firstLineChars="0"/>
                    <w:jc w:val="center"/>
                    <w:rPr>
                      <w:sz w:val="21"/>
                      <w:szCs w:val="21"/>
                    </w:rPr>
                  </w:pPr>
                  <w:r>
                    <w:rPr>
                      <w:rFonts w:hint="eastAsia"/>
                      <w:sz w:val="21"/>
                      <w:szCs w:val="21"/>
                    </w:rPr>
                    <w:t>外购、罐车运输</w:t>
                  </w:r>
                </w:p>
              </w:tc>
            </w:tr>
            <w:tr w14:paraId="454313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5" w:type="pct"/>
                  <w:vMerge w:val="continue"/>
                  <w:tcBorders>
                    <w:tl2br w:val="nil"/>
                    <w:tr2bl w:val="nil"/>
                  </w:tcBorders>
                  <w:vAlign w:val="center"/>
                </w:tcPr>
                <w:p w14:paraId="4779B52D">
                  <w:pPr>
                    <w:spacing w:line="240" w:lineRule="auto"/>
                    <w:ind w:firstLine="0" w:firstLineChars="0"/>
                    <w:jc w:val="center"/>
                    <w:rPr>
                      <w:sz w:val="21"/>
                      <w:szCs w:val="21"/>
                    </w:rPr>
                  </w:pPr>
                </w:p>
              </w:tc>
              <w:tc>
                <w:tcPr>
                  <w:tcW w:w="1029" w:type="pct"/>
                  <w:tcBorders>
                    <w:tl2br w:val="nil"/>
                    <w:tr2bl w:val="nil"/>
                  </w:tcBorders>
                  <w:vAlign w:val="center"/>
                </w:tcPr>
                <w:p w14:paraId="4F80D89B">
                  <w:pPr>
                    <w:spacing w:line="240" w:lineRule="auto"/>
                    <w:ind w:firstLine="0" w:firstLineChars="0"/>
                    <w:jc w:val="center"/>
                    <w:rPr>
                      <w:sz w:val="21"/>
                      <w:szCs w:val="21"/>
                    </w:rPr>
                  </w:pPr>
                  <w:r>
                    <w:rPr>
                      <w:sz w:val="21"/>
                      <w:szCs w:val="21"/>
                    </w:rPr>
                    <w:t>白水泥</w:t>
                  </w:r>
                </w:p>
              </w:tc>
              <w:tc>
                <w:tcPr>
                  <w:tcW w:w="805" w:type="pct"/>
                  <w:tcBorders>
                    <w:tl2br w:val="nil"/>
                    <w:tr2bl w:val="nil"/>
                  </w:tcBorders>
                  <w:vAlign w:val="center"/>
                </w:tcPr>
                <w:p w14:paraId="03370461">
                  <w:pPr>
                    <w:spacing w:line="240" w:lineRule="auto"/>
                    <w:ind w:firstLine="0" w:firstLineChars="0"/>
                    <w:jc w:val="center"/>
                    <w:rPr>
                      <w:sz w:val="21"/>
                      <w:szCs w:val="21"/>
                    </w:rPr>
                  </w:pPr>
                  <w:r>
                    <w:rPr>
                      <w:sz w:val="21"/>
                      <w:szCs w:val="21"/>
                    </w:rPr>
                    <w:t>吨</w:t>
                  </w:r>
                </w:p>
              </w:tc>
              <w:tc>
                <w:tcPr>
                  <w:tcW w:w="888" w:type="pct"/>
                  <w:tcBorders>
                    <w:tl2br w:val="nil"/>
                    <w:tr2bl w:val="nil"/>
                  </w:tcBorders>
                  <w:vAlign w:val="center"/>
                </w:tcPr>
                <w:p w14:paraId="51E216B6">
                  <w:pPr>
                    <w:spacing w:line="240" w:lineRule="auto"/>
                    <w:ind w:firstLine="0" w:firstLineChars="0"/>
                    <w:jc w:val="center"/>
                    <w:rPr>
                      <w:sz w:val="21"/>
                      <w:szCs w:val="21"/>
                    </w:rPr>
                  </w:pPr>
                  <w:r>
                    <w:rPr>
                      <w:rFonts w:hint="eastAsia"/>
                      <w:sz w:val="21"/>
                      <w:szCs w:val="21"/>
                    </w:rPr>
                    <w:t>5000</w:t>
                  </w:r>
                </w:p>
              </w:tc>
              <w:tc>
                <w:tcPr>
                  <w:tcW w:w="1771" w:type="pct"/>
                  <w:tcBorders>
                    <w:tl2br w:val="nil"/>
                    <w:tr2bl w:val="nil"/>
                  </w:tcBorders>
                  <w:vAlign w:val="center"/>
                </w:tcPr>
                <w:p w14:paraId="740F1B7C">
                  <w:pPr>
                    <w:spacing w:line="240" w:lineRule="auto"/>
                    <w:ind w:firstLine="0" w:firstLineChars="0"/>
                    <w:jc w:val="center"/>
                    <w:rPr>
                      <w:sz w:val="21"/>
                      <w:szCs w:val="21"/>
                    </w:rPr>
                  </w:pPr>
                  <w:r>
                    <w:rPr>
                      <w:rFonts w:hint="eastAsia"/>
                      <w:sz w:val="21"/>
                      <w:szCs w:val="21"/>
                    </w:rPr>
                    <w:t>外购，汽车运输，50kg/包</w:t>
                  </w:r>
                </w:p>
              </w:tc>
            </w:tr>
            <w:tr w14:paraId="4A2BC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5" w:type="pct"/>
                  <w:vMerge w:val="continue"/>
                  <w:tcBorders>
                    <w:tl2br w:val="nil"/>
                    <w:tr2bl w:val="nil"/>
                  </w:tcBorders>
                  <w:vAlign w:val="center"/>
                </w:tcPr>
                <w:p w14:paraId="21B02A7A">
                  <w:pPr>
                    <w:spacing w:line="240" w:lineRule="auto"/>
                    <w:ind w:firstLine="0" w:firstLineChars="0"/>
                    <w:jc w:val="center"/>
                    <w:rPr>
                      <w:sz w:val="21"/>
                      <w:szCs w:val="21"/>
                    </w:rPr>
                  </w:pPr>
                </w:p>
              </w:tc>
              <w:tc>
                <w:tcPr>
                  <w:tcW w:w="1029" w:type="pct"/>
                  <w:tcBorders>
                    <w:tl2br w:val="nil"/>
                    <w:tr2bl w:val="nil"/>
                  </w:tcBorders>
                  <w:vAlign w:val="center"/>
                </w:tcPr>
                <w:p w14:paraId="6955B332">
                  <w:pPr>
                    <w:spacing w:line="240" w:lineRule="auto"/>
                    <w:ind w:firstLine="0" w:firstLineChars="0"/>
                    <w:jc w:val="center"/>
                    <w:rPr>
                      <w:sz w:val="21"/>
                      <w:szCs w:val="21"/>
                    </w:rPr>
                  </w:pPr>
                  <w:r>
                    <w:rPr>
                      <w:rFonts w:hint="eastAsia"/>
                      <w:sz w:val="21"/>
                      <w:szCs w:val="21"/>
                    </w:rPr>
                    <w:t>沙子</w:t>
                  </w:r>
                </w:p>
              </w:tc>
              <w:tc>
                <w:tcPr>
                  <w:tcW w:w="805" w:type="pct"/>
                  <w:tcBorders>
                    <w:tl2br w:val="nil"/>
                    <w:tr2bl w:val="nil"/>
                  </w:tcBorders>
                  <w:vAlign w:val="center"/>
                </w:tcPr>
                <w:p w14:paraId="2985C343">
                  <w:pPr>
                    <w:spacing w:line="240" w:lineRule="auto"/>
                    <w:ind w:firstLine="0" w:firstLineChars="0"/>
                    <w:jc w:val="center"/>
                    <w:rPr>
                      <w:sz w:val="21"/>
                      <w:szCs w:val="21"/>
                    </w:rPr>
                  </w:pPr>
                  <w:r>
                    <w:rPr>
                      <w:sz w:val="21"/>
                      <w:szCs w:val="21"/>
                    </w:rPr>
                    <w:t>吨</w:t>
                  </w:r>
                </w:p>
              </w:tc>
              <w:tc>
                <w:tcPr>
                  <w:tcW w:w="888" w:type="pct"/>
                  <w:tcBorders>
                    <w:tl2br w:val="nil"/>
                    <w:tr2bl w:val="nil"/>
                  </w:tcBorders>
                  <w:vAlign w:val="center"/>
                </w:tcPr>
                <w:p w14:paraId="344FE4D4">
                  <w:pPr>
                    <w:spacing w:line="240" w:lineRule="auto"/>
                    <w:ind w:firstLine="0" w:firstLineChars="0"/>
                    <w:jc w:val="center"/>
                    <w:rPr>
                      <w:sz w:val="21"/>
                      <w:szCs w:val="21"/>
                    </w:rPr>
                  </w:pPr>
                  <w:r>
                    <w:rPr>
                      <w:rFonts w:hint="eastAsia"/>
                      <w:sz w:val="21"/>
                      <w:szCs w:val="21"/>
                    </w:rPr>
                    <w:t>10005</w:t>
                  </w:r>
                </w:p>
              </w:tc>
              <w:tc>
                <w:tcPr>
                  <w:tcW w:w="1771" w:type="pct"/>
                  <w:tcBorders>
                    <w:tl2br w:val="nil"/>
                    <w:tr2bl w:val="nil"/>
                  </w:tcBorders>
                  <w:vAlign w:val="center"/>
                </w:tcPr>
                <w:p w14:paraId="7241EF7C">
                  <w:pPr>
                    <w:spacing w:line="240" w:lineRule="auto"/>
                    <w:ind w:firstLine="0" w:firstLineChars="0"/>
                    <w:jc w:val="center"/>
                    <w:rPr>
                      <w:sz w:val="21"/>
                      <w:szCs w:val="21"/>
                    </w:rPr>
                  </w:pPr>
                  <w:r>
                    <w:rPr>
                      <w:rFonts w:hint="eastAsia"/>
                      <w:sz w:val="21"/>
                      <w:szCs w:val="21"/>
                    </w:rPr>
                    <w:t>外购，汽车运输，50kg/包</w:t>
                  </w:r>
                </w:p>
              </w:tc>
            </w:tr>
            <w:tr w14:paraId="631CF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5" w:type="pct"/>
                  <w:vMerge w:val="continue"/>
                  <w:tcBorders>
                    <w:tl2br w:val="nil"/>
                    <w:tr2bl w:val="nil"/>
                  </w:tcBorders>
                  <w:vAlign w:val="center"/>
                </w:tcPr>
                <w:p w14:paraId="6A93B8F6">
                  <w:pPr>
                    <w:spacing w:line="240" w:lineRule="auto"/>
                    <w:ind w:firstLine="0" w:firstLineChars="0"/>
                    <w:jc w:val="center"/>
                    <w:rPr>
                      <w:sz w:val="21"/>
                      <w:szCs w:val="21"/>
                    </w:rPr>
                  </w:pPr>
                </w:p>
              </w:tc>
              <w:tc>
                <w:tcPr>
                  <w:tcW w:w="1029" w:type="pct"/>
                  <w:tcBorders>
                    <w:tl2br w:val="nil"/>
                    <w:tr2bl w:val="nil"/>
                  </w:tcBorders>
                  <w:vAlign w:val="center"/>
                </w:tcPr>
                <w:p w14:paraId="0C92063B">
                  <w:pPr>
                    <w:spacing w:line="240" w:lineRule="auto"/>
                    <w:ind w:firstLine="0" w:firstLineChars="0"/>
                    <w:jc w:val="center"/>
                    <w:rPr>
                      <w:sz w:val="21"/>
                      <w:szCs w:val="21"/>
                    </w:rPr>
                  </w:pPr>
                  <w:r>
                    <w:rPr>
                      <w:rFonts w:hint="eastAsia"/>
                      <w:sz w:val="21"/>
                      <w:szCs w:val="21"/>
                    </w:rPr>
                    <w:t>白石粉</w:t>
                  </w:r>
                </w:p>
              </w:tc>
              <w:tc>
                <w:tcPr>
                  <w:tcW w:w="1297" w:type="dxa"/>
                  <w:tcBorders>
                    <w:tl2br w:val="nil"/>
                    <w:tr2bl w:val="nil"/>
                  </w:tcBorders>
                  <w:vAlign w:val="center"/>
                </w:tcPr>
                <w:p w14:paraId="2D27477D">
                  <w:pPr>
                    <w:spacing w:line="240" w:lineRule="auto"/>
                    <w:ind w:firstLine="0" w:firstLineChars="0"/>
                    <w:jc w:val="center"/>
                    <w:rPr>
                      <w:sz w:val="21"/>
                      <w:szCs w:val="21"/>
                    </w:rPr>
                  </w:pPr>
                  <w:r>
                    <w:rPr>
                      <w:sz w:val="21"/>
                      <w:szCs w:val="21"/>
                    </w:rPr>
                    <w:t>吨</w:t>
                  </w:r>
                </w:p>
              </w:tc>
              <w:tc>
                <w:tcPr>
                  <w:tcW w:w="888" w:type="pct"/>
                  <w:tcBorders>
                    <w:tl2br w:val="nil"/>
                    <w:tr2bl w:val="nil"/>
                  </w:tcBorders>
                  <w:vAlign w:val="center"/>
                </w:tcPr>
                <w:p w14:paraId="3DF67612">
                  <w:pPr>
                    <w:spacing w:line="240" w:lineRule="auto"/>
                    <w:ind w:firstLine="0" w:firstLineChars="0"/>
                    <w:jc w:val="center"/>
                    <w:rPr>
                      <w:sz w:val="21"/>
                      <w:szCs w:val="21"/>
                    </w:rPr>
                  </w:pPr>
                  <w:r>
                    <w:rPr>
                      <w:rFonts w:hint="eastAsia"/>
                      <w:sz w:val="21"/>
                      <w:szCs w:val="21"/>
                    </w:rPr>
                    <w:t>5000</w:t>
                  </w:r>
                </w:p>
              </w:tc>
              <w:tc>
                <w:tcPr>
                  <w:tcW w:w="1771" w:type="pct"/>
                  <w:tcBorders>
                    <w:tl2br w:val="nil"/>
                    <w:tr2bl w:val="nil"/>
                  </w:tcBorders>
                  <w:vAlign w:val="center"/>
                </w:tcPr>
                <w:p w14:paraId="49367E17">
                  <w:pPr>
                    <w:spacing w:line="240" w:lineRule="auto"/>
                    <w:ind w:firstLine="0" w:firstLineChars="0"/>
                    <w:jc w:val="center"/>
                    <w:rPr>
                      <w:sz w:val="21"/>
                      <w:szCs w:val="21"/>
                    </w:rPr>
                  </w:pPr>
                  <w:r>
                    <w:rPr>
                      <w:rFonts w:hint="eastAsia"/>
                      <w:sz w:val="21"/>
                      <w:szCs w:val="21"/>
                    </w:rPr>
                    <w:t>外购，汽车运输，50kg/包</w:t>
                  </w:r>
                </w:p>
              </w:tc>
            </w:tr>
            <w:tr w14:paraId="29BA6A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5" w:type="pct"/>
                  <w:vMerge w:val="continue"/>
                  <w:tcBorders>
                    <w:tl2br w:val="nil"/>
                    <w:tr2bl w:val="nil"/>
                  </w:tcBorders>
                  <w:vAlign w:val="center"/>
                </w:tcPr>
                <w:p w14:paraId="347AE8C2">
                  <w:pPr>
                    <w:spacing w:line="240" w:lineRule="auto"/>
                    <w:ind w:firstLine="0" w:firstLineChars="0"/>
                    <w:jc w:val="center"/>
                    <w:rPr>
                      <w:sz w:val="21"/>
                      <w:szCs w:val="21"/>
                    </w:rPr>
                  </w:pPr>
                </w:p>
              </w:tc>
              <w:tc>
                <w:tcPr>
                  <w:tcW w:w="1029" w:type="pct"/>
                  <w:tcBorders>
                    <w:tl2br w:val="nil"/>
                    <w:tr2bl w:val="nil"/>
                  </w:tcBorders>
                  <w:vAlign w:val="center"/>
                </w:tcPr>
                <w:p w14:paraId="57877442">
                  <w:pPr>
                    <w:spacing w:line="240" w:lineRule="auto"/>
                    <w:ind w:firstLine="0" w:firstLineChars="0"/>
                    <w:jc w:val="center"/>
                    <w:rPr>
                      <w:sz w:val="21"/>
                      <w:szCs w:val="21"/>
                    </w:rPr>
                  </w:pPr>
                  <w:r>
                    <w:rPr>
                      <w:rFonts w:hint="eastAsia"/>
                      <w:sz w:val="21"/>
                      <w:szCs w:val="21"/>
                    </w:rPr>
                    <w:t>石膏</w:t>
                  </w:r>
                </w:p>
              </w:tc>
              <w:tc>
                <w:tcPr>
                  <w:tcW w:w="1297" w:type="dxa"/>
                  <w:tcBorders>
                    <w:tl2br w:val="nil"/>
                    <w:tr2bl w:val="nil"/>
                  </w:tcBorders>
                  <w:vAlign w:val="center"/>
                </w:tcPr>
                <w:p w14:paraId="2AF4D1F3">
                  <w:pPr>
                    <w:spacing w:line="240" w:lineRule="auto"/>
                    <w:ind w:firstLine="0" w:firstLineChars="0"/>
                    <w:jc w:val="center"/>
                    <w:rPr>
                      <w:sz w:val="21"/>
                      <w:szCs w:val="21"/>
                    </w:rPr>
                  </w:pPr>
                  <w:r>
                    <w:rPr>
                      <w:sz w:val="21"/>
                      <w:szCs w:val="21"/>
                    </w:rPr>
                    <w:t>吨</w:t>
                  </w:r>
                </w:p>
              </w:tc>
              <w:tc>
                <w:tcPr>
                  <w:tcW w:w="888" w:type="pct"/>
                  <w:tcBorders>
                    <w:tl2br w:val="nil"/>
                    <w:tr2bl w:val="nil"/>
                  </w:tcBorders>
                  <w:vAlign w:val="center"/>
                </w:tcPr>
                <w:p w14:paraId="0C2FE980">
                  <w:pPr>
                    <w:spacing w:line="240" w:lineRule="auto"/>
                    <w:ind w:firstLine="0" w:firstLineChars="0"/>
                    <w:jc w:val="center"/>
                    <w:rPr>
                      <w:sz w:val="21"/>
                      <w:szCs w:val="21"/>
                    </w:rPr>
                  </w:pPr>
                  <w:r>
                    <w:rPr>
                      <w:rFonts w:hint="eastAsia"/>
                      <w:sz w:val="21"/>
                      <w:szCs w:val="21"/>
                    </w:rPr>
                    <w:t>4500</w:t>
                  </w:r>
                </w:p>
              </w:tc>
              <w:tc>
                <w:tcPr>
                  <w:tcW w:w="1771" w:type="pct"/>
                  <w:tcBorders>
                    <w:tl2br w:val="nil"/>
                    <w:tr2bl w:val="nil"/>
                  </w:tcBorders>
                  <w:vAlign w:val="center"/>
                </w:tcPr>
                <w:p w14:paraId="204F1B00">
                  <w:pPr>
                    <w:spacing w:line="240" w:lineRule="auto"/>
                    <w:ind w:firstLine="0" w:firstLineChars="0"/>
                    <w:jc w:val="center"/>
                    <w:rPr>
                      <w:sz w:val="21"/>
                      <w:szCs w:val="21"/>
                    </w:rPr>
                  </w:pPr>
                  <w:r>
                    <w:rPr>
                      <w:rFonts w:hint="eastAsia"/>
                      <w:sz w:val="21"/>
                      <w:szCs w:val="21"/>
                    </w:rPr>
                    <w:t>外购，汽车运输，50kg/包</w:t>
                  </w:r>
                </w:p>
              </w:tc>
            </w:tr>
            <w:tr w14:paraId="6DF456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5" w:type="pct"/>
                  <w:vMerge w:val="continue"/>
                  <w:tcBorders>
                    <w:tl2br w:val="nil"/>
                    <w:tr2bl w:val="nil"/>
                  </w:tcBorders>
                  <w:vAlign w:val="center"/>
                </w:tcPr>
                <w:p w14:paraId="56C5E4E2">
                  <w:pPr>
                    <w:spacing w:line="240" w:lineRule="auto"/>
                    <w:ind w:firstLine="0" w:firstLineChars="0"/>
                    <w:jc w:val="center"/>
                    <w:rPr>
                      <w:sz w:val="21"/>
                      <w:szCs w:val="21"/>
                    </w:rPr>
                  </w:pPr>
                </w:p>
              </w:tc>
              <w:tc>
                <w:tcPr>
                  <w:tcW w:w="1029" w:type="pct"/>
                  <w:tcBorders>
                    <w:tl2br w:val="nil"/>
                    <w:tr2bl w:val="nil"/>
                  </w:tcBorders>
                  <w:vAlign w:val="center"/>
                </w:tcPr>
                <w:p w14:paraId="1E79F2AF">
                  <w:pPr>
                    <w:spacing w:line="240" w:lineRule="auto"/>
                    <w:ind w:firstLine="0" w:firstLineChars="0"/>
                    <w:jc w:val="center"/>
                    <w:rPr>
                      <w:sz w:val="21"/>
                      <w:szCs w:val="21"/>
                    </w:rPr>
                  </w:pPr>
                  <w:r>
                    <w:rPr>
                      <w:rFonts w:hint="eastAsia"/>
                      <w:sz w:val="21"/>
                      <w:szCs w:val="21"/>
                    </w:rPr>
                    <w:t>纤维素</w:t>
                  </w:r>
                </w:p>
              </w:tc>
              <w:tc>
                <w:tcPr>
                  <w:tcW w:w="1297" w:type="dxa"/>
                  <w:tcBorders>
                    <w:tl2br w:val="nil"/>
                    <w:tr2bl w:val="nil"/>
                  </w:tcBorders>
                  <w:vAlign w:val="center"/>
                </w:tcPr>
                <w:p w14:paraId="0DA8B8AE">
                  <w:pPr>
                    <w:spacing w:line="240" w:lineRule="auto"/>
                    <w:ind w:firstLine="0" w:firstLineChars="0"/>
                    <w:jc w:val="center"/>
                    <w:rPr>
                      <w:sz w:val="21"/>
                      <w:szCs w:val="21"/>
                    </w:rPr>
                  </w:pPr>
                  <w:r>
                    <w:rPr>
                      <w:sz w:val="21"/>
                      <w:szCs w:val="21"/>
                    </w:rPr>
                    <w:t>吨</w:t>
                  </w:r>
                </w:p>
              </w:tc>
              <w:tc>
                <w:tcPr>
                  <w:tcW w:w="888" w:type="pct"/>
                  <w:tcBorders>
                    <w:tl2br w:val="nil"/>
                    <w:tr2bl w:val="nil"/>
                  </w:tcBorders>
                  <w:vAlign w:val="center"/>
                </w:tcPr>
                <w:p w14:paraId="799EA0D3">
                  <w:pPr>
                    <w:spacing w:line="240" w:lineRule="auto"/>
                    <w:ind w:firstLine="0" w:firstLineChars="0"/>
                    <w:jc w:val="center"/>
                    <w:rPr>
                      <w:sz w:val="21"/>
                      <w:szCs w:val="21"/>
                    </w:rPr>
                  </w:pPr>
                  <w:r>
                    <w:rPr>
                      <w:rFonts w:hint="eastAsia"/>
                      <w:sz w:val="21"/>
                      <w:szCs w:val="21"/>
                    </w:rPr>
                    <w:t>500</w:t>
                  </w:r>
                </w:p>
              </w:tc>
              <w:tc>
                <w:tcPr>
                  <w:tcW w:w="1771" w:type="pct"/>
                  <w:tcBorders>
                    <w:tl2br w:val="nil"/>
                    <w:tr2bl w:val="nil"/>
                  </w:tcBorders>
                  <w:vAlign w:val="center"/>
                </w:tcPr>
                <w:p w14:paraId="57171D9B">
                  <w:pPr>
                    <w:spacing w:line="240" w:lineRule="auto"/>
                    <w:ind w:firstLine="0" w:firstLineChars="0"/>
                    <w:jc w:val="center"/>
                    <w:rPr>
                      <w:sz w:val="21"/>
                      <w:szCs w:val="21"/>
                    </w:rPr>
                  </w:pPr>
                  <w:r>
                    <w:rPr>
                      <w:rFonts w:hint="eastAsia"/>
                      <w:sz w:val="21"/>
                      <w:szCs w:val="21"/>
                    </w:rPr>
                    <w:t>外购，汽车运输，50kg/包</w:t>
                  </w:r>
                </w:p>
              </w:tc>
            </w:tr>
            <w:tr w14:paraId="2D338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5" w:type="pct"/>
                  <w:vMerge w:val="restart"/>
                  <w:tcBorders>
                    <w:tl2br w:val="nil"/>
                    <w:tr2bl w:val="nil"/>
                  </w:tcBorders>
                  <w:vAlign w:val="center"/>
                </w:tcPr>
                <w:p w14:paraId="4B4B6664">
                  <w:pPr>
                    <w:spacing w:line="240" w:lineRule="auto"/>
                    <w:ind w:firstLine="0" w:firstLineChars="0"/>
                    <w:jc w:val="center"/>
                    <w:rPr>
                      <w:sz w:val="21"/>
                      <w:szCs w:val="21"/>
                    </w:rPr>
                  </w:pPr>
                  <w:r>
                    <w:rPr>
                      <w:sz w:val="21"/>
                      <w:szCs w:val="21"/>
                    </w:rPr>
                    <w:t>能源消耗</w:t>
                  </w:r>
                </w:p>
              </w:tc>
              <w:tc>
                <w:tcPr>
                  <w:tcW w:w="1029" w:type="pct"/>
                  <w:tcBorders>
                    <w:tl2br w:val="nil"/>
                    <w:tr2bl w:val="nil"/>
                  </w:tcBorders>
                  <w:vAlign w:val="center"/>
                </w:tcPr>
                <w:p w14:paraId="2B60DBBD">
                  <w:pPr>
                    <w:spacing w:line="240" w:lineRule="auto"/>
                    <w:ind w:firstLine="0" w:firstLineChars="0"/>
                    <w:jc w:val="center"/>
                    <w:rPr>
                      <w:sz w:val="21"/>
                      <w:szCs w:val="21"/>
                    </w:rPr>
                  </w:pPr>
                  <w:r>
                    <w:rPr>
                      <w:sz w:val="21"/>
                      <w:szCs w:val="21"/>
                    </w:rPr>
                    <w:t>水</w:t>
                  </w:r>
                </w:p>
              </w:tc>
              <w:tc>
                <w:tcPr>
                  <w:tcW w:w="805" w:type="pct"/>
                  <w:tcBorders>
                    <w:tl2br w:val="nil"/>
                    <w:tr2bl w:val="nil"/>
                  </w:tcBorders>
                  <w:vAlign w:val="center"/>
                </w:tcPr>
                <w:p w14:paraId="7835FECA">
                  <w:pPr>
                    <w:spacing w:line="240" w:lineRule="auto"/>
                    <w:ind w:firstLine="0" w:firstLineChars="0"/>
                    <w:jc w:val="center"/>
                    <w:rPr>
                      <w:sz w:val="21"/>
                      <w:szCs w:val="21"/>
                    </w:rPr>
                  </w:pPr>
                  <w:r>
                    <w:rPr>
                      <w:sz w:val="21"/>
                      <w:szCs w:val="21"/>
                    </w:rPr>
                    <w:t>吨</w:t>
                  </w:r>
                </w:p>
              </w:tc>
              <w:tc>
                <w:tcPr>
                  <w:tcW w:w="888" w:type="pct"/>
                  <w:tcBorders>
                    <w:tl2br w:val="nil"/>
                    <w:tr2bl w:val="nil"/>
                  </w:tcBorders>
                  <w:vAlign w:val="center"/>
                </w:tcPr>
                <w:p w14:paraId="0DE02783">
                  <w:pPr>
                    <w:spacing w:line="240" w:lineRule="auto"/>
                    <w:ind w:firstLine="0" w:firstLineChars="0"/>
                    <w:jc w:val="center"/>
                    <w:rPr>
                      <w:sz w:val="21"/>
                      <w:szCs w:val="21"/>
                    </w:rPr>
                  </w:pPr>
                  <w:r>
                    <w:rPr>
                      <w:rFonts w:hint="eastAsia"/>
                      <w:sz w:val="21"/>
                      <w:szCs w:val="21"/>
                    </w:rPr>
                    <w:t>105</w:t>
                  </w:r>
                </w:p>
              </w:tc>
              <w:tc>
                <w:tcPr>
                  <w:tcW w:w="1771" w:type="pct"/>
                  <w:tcBorders>
                    <w:tl2br w:val="nil"/>
                    <w:tr2bl w:val="nil"/>
                  </w:tcBorders>
                  <w:vAlign w:val="center"/>
                </w:tcPr>
                <w:p w14:paraId="2884F47F">
                  <w:pPr>
                    <w:spacing w:line="240" w:lineRule="auto"/>
                    <w:ind w:firstLine="0" w:firstLineChars="0"/>
                    <w:jc w:val="center"/>
                    <w:rPr>
                      <w:color w:val="0000FF"/>
                      <w:sz w:val="21"/>
                      <w:szCs w:val="21"/>
                    </w:rPr>
                  </w:pPr>
                  <w:r>
                    <w:rPr>
                      <w:rFonts w:hint="eastAsia"/>
                      <w:sz w:val="21"/>
                      <w:szCs w:val="21"/>
                    </w:rPr>
                    <w:t>/</w:t>
                  </w:r>
                </w:p>
              </w:tc>
            </w:tr>
            <w:tr w14:paraId="48B72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5" w:type="pct"/>
                  <w:vMerge w:val="continue"/>
                  <w:tcBorders>
                    <w:tl2br w:val="nil"/>
                    <w:tr2bl w:val="nil"/>
                  </w:tcBorders>
                  <w:vAlign w:val="center"/>
                </w:tcPr>
                <w:p w14:paraId="77EFE11D">
                  <w:pPr>
                    <w:spacing w:line="240" w:lineRule="auto"/>
                    <w:ind w:firstLine="0" w:firstLineChars="0"/>
                    <w:jc w:val="center"/>
                    <w:rPr>
                      <w:sz w:val="21"/>
                      <w:szCs w:val="21"/>
                    </w:rPr>
                  </w:pPr>
                </w:p>
              </w:tc>
              <w:tc>
                <w:tcPr>
                  <w:tcW w:w="1029" w:type="pct"/>
                  <w:tcBorders>
                    <w:tl2br w:val="nil"/>
                    <w:tr2bl w:val="nil"/>
                  </w:tcBorders>
                  <w:vAlign w:val="center"/>
                </w:tcPr>
                <w:p w14:paraId="7AC5B071">
                  <w:pPr>
                    <w:spacing w:line="240" w:lineRule="auto"/>
                    <w:ind w:firstLine="0" w:firstLineChars="0"/>
                    <w:jc w:val="center"/>
                    <w:rPr>
                      <w:sz w:val="21"/>
                      <w:szCs w:val="21"/>
                    </w:rPr>
                  </w:pPr>
                  <w:r>
                    <w:rPr>
                      <w:sz w:val="21"/>
                      <w:szCs w:val="21"/>
                    </w:rPr>
                    <w:t>电</w:t>
                  </w:r>
                </w:p>
              </w:tc>
              <w:tc>
                <w:tcPr>
                  <w:tcW w:w="805" w:type="pct"/>
                  <w:tcBorders>
                    <w:tl2br w:val="nil"/>
                    <w:tr2bl w:val="nil"/>
                  </w:tcBorders>
                  <w:vAlign w:val="center"/>
                </w:tcPr>
                <w:p w14:paraId="47E996C7">
                  <w:pPr>
                    <w:spacing w:line="240" w:lineRule="auto"/>
                    <w:ind w:firstLine="0" w:firstLineChars="0"/>
                    <w:jc w:val="center"/>
                    <w:rPr>
                      <w:sz w:val="21"/>
                      <w:szCs w:val="21"/>
                    </w:rPr>
                  </w:pPr>
                  <w:r>
                    <w:rPr>
                      <w:sz w:val="21"/>
                      <w:szCs w:val="21"/>
                    </w:rPr>
                    <w:t>万kWh</w:t>
                  </w:r>
                </w:p>
              </w:tc>
              <w:tc>
                <w:tcPr>
                  <w:tcW w:w="888" w:type="pct"/>
                  <w:tcBorders>
                    <w:tl2br w:val="nil"/>
                    <w:tr2bl w:val="nil"/>
                  </w:tcBorders>
                  <w:vAlign w:val="center"/>
                </w:tcPr>
                <w:p w14:paraId="500D2EBF">
                  <w:pPr>
                    <w:spacing w:line="240" w:lineRule="auto"/>
                    <w:ind w:firstLine="0" w:firstLineChars="0"/>
                    <w:jc w:val="center"/>
                    <w:rPr>
                      <w:sz w:val="21"/>
                      <w:szCs w:val="21"/>
                    </w:rPr>
                  </w:pPr>
                  <w:r>
                    <w:rPr>
                      <w:rFonts w:hint="eastAsia"/>
                      <w:sz w:val="21"/>
                      <w:szCs w:val="21"/>
                    </w:rPr>
                    <w:t>9</w:t>
                  </w:r>
                </w:p>
              </w:tc>
              <w:tc>
                <w:tcPr>
                  <w:tcW w:w="1771" w:type="pct"/>
                  <w:tcBorders>
                    <w:tl2br w:val="nil"/>
                    <w:tr2bl w:val="nil"/>
                  </w:tcBorders>
                  <w:vAlign w:val="center"/>
                </w:tcPr>
                <w:p w14:paraId="6811F751">
                  <w:pPr>
                    <w:spacing w:line="240" w:lineRule="auto"/>
                    <w:ind w:firstLine="0" w:firstLineChars="0"/>
                    <w:jc w:val="center"/>
                    <w:rPr>
                      <w:sz w:val="21"/>
                      <w:szCs w:val="21"/>
                    </w:rPr>
                  </w:pPr>
                  <w:r>
                    <w:rPr>
                      <w:sz w:val="21"/>
                      <w:szCs w:val="21"/>
                    </w:rPr>
                    <w:t>/</w:t>
                  </w:r>
                </w:p>
              </w:tc>
            </w:tr>
          </w:tbl>
          <w:p w14:paraId="2E0D26F8">
            <w:pPr>
              <w:spacing w:before="120" w:beforeLines="50" w:line="240" w:lineRule="auto"/>
              <w:ind w:firstLine="482"/>
              <w:jc w:val="center"/>
              <w:rPr>
                <w:b/>
                <w:szCs w:val="21"/>
              </w:rPr>
            </w:pPr>
            <w:r>
              <w:rPr>
                <w:rFonts w:hint="eastAsia"/>
                <w:b/>
                <w:szCs w:val="21"/>
              </w:rPr>
              <w:t>表2.3-2 原辅材料性质介绍</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544"/>
              <w:gridCol w:w="5735"/>
            </w:tblGrid>
            <w:tr w14:paraId="174365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482" w:type="pct"/>
                  <w:tcBorders>
                    <w:tl2br w:val="nil"/>
                    <w:tr2bl w:val="nil"/>
                  </w:tcBorders>
                  <w:vAlign w:val="center"/>
                </w:tcPr>
                <w:p w14:paraId="7569D2DB">
                  <w:pPr>
                    <w:spacing w:line="240" w:lineRule="auto"/>
                    <w:ind w:firstLine="0" w:firstLineChars="0"/>
                    <w:jc w:val="center"/>
                    <w:rPr>
                      <w:sz w:val="21"/>
                      <w:szCs w:val="21"/>
                    </w:rPr>
                  </w:pPr>
                  <w:r>
                    <w:rPr>
                      <w:rFonts w:hint="eastAsia"/>
                      <w:sz w:val="21"/>
                      <w:szCs w:val="21"/>
                    </w:rPr>
                    <w:t>序号</w:t>
                  </w:r>
                </w:p>
              </w:tc>
              <w:tc>
                <w:tcPr>
                  <w:tcW w:w="958" w:type="pct"/>
                  <w:tcBorders>
                    <w:tl2br w:val="nil"/>
                    <w:tr2bl w:val="nil"/>
                  </w:tcBorders>
                  <w:vAlign w:val="center"/>
                </w:tcPr>
                <w:p w14:paraId="624DB7C6">
                  <w:pPr>
                    <w:spacing w:line="240" w:lineRule="auto"/>
                    <w:ind w:firstLine="0" w:firstLineChars="0"/>
                    <w:jc w:val="center"/>
                    <w:rPr>
                      <w:sz w:val="21"/>
                      <w:szCs w:val="21"/>
                    </w:rPr>
                  </w:pPr>
                  <w:r>
                    <w:rPr>
                      <w:rFonts w:hint="eastAsia"/>
                      <w:sz w:val="21"/>
                      <w:szCs w:val="21"/>
                    </w:rPr>
                    <w:t>原料名称</w:t>
                  </w:r>
                </w:p>
              </w:tc>
              <w:tc>
                <w:tcPr>
                  <w:tcW w:w="3559" w:type="pct"/>
                  <w:tcBorders>
                    <w:tl2br w:val="nil"/>
                    <w:tr2bl w:val="nil"/>
                  </w:tcBorders>
                  <w:vAlign w:val="center"/>
                </w:tcPr>
                <w:p w14:paraId="684DF122">
                  <w:pPr>
                    <w:spacing w:line="240" w:lineRule="auto"/>
                    <w:ind w:firstLine="0" w:firstLineChars="0"/>
                    <w:jc w:val="center"/>
                    <w:rPr>
                      <w:sz w:val="21"/>
                      <w:szCs w:val="21"/>
                    </w:rPr>
                  </w:pPr>
                  <w:r>
                    <w:rPr>
                      <w:rFonts w:hint="eastAsia"/>
                      <w:sz w:val="21"/>
                      <w:szCs w:val="21"/>
                    </w:rPr>
                    <w:t>性质/成分</w:t>
                  </w:r>
                </w:p>
              </w:tc>
            </w:tr>
            <w:tr w14:paraId="1BA955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tcBorders>
                    <w:tl2br w:val="nil"/>
                    <w:tr2bl w:val="nil"/>
                  </w:tcBorders>
                  <w:vAlign w:val="center"/>
                </w:tcPr>
                <w:p w14:paraId="7D5DFA8E">
                  <w:pPr>
                    <w:spacing w:line="240" w:lineRule="auto"/>
                    <w:ind w:firstLine="0" w:firstLineChars="0"/>
                    <w:jc w:val="center"/>
                    <w:rPr>
                      <w:sz w:val="21"/>
                      <w:szCs w:val="21"/>
                    </w:rPr>
                  </w:pPr>
                  <w:r>
                    <w:rPr>
                      <w:rFonts w:hint="eastAsia"/>
                      <w:sz w:val="21"/>
                      <w:szCs w:val="21"/>
                    </w:rPr>
                    <w:t>1</w:t>
                  </w:r>
                </w:p>
              </w:tc>
              <w:tc>
                <w:tcPr>
                  <w:tcW w:w="958" w:type="pct"/>
                  <w:tcBorders>
                    <w:tl2br w:val="nil"/>
                    <w:tr2bl w:val="nil"/>
                  </w:tcBorders>
                  <w:vAlign w:val="center"/>
                </w:tcPr>
                <w:p w14:paraId="7FDCCA3B">
                  <w:pPr>
                    <w:spacing w:line="240" w:lineRule="auto"/>
                    <w:ind w:firstLine="0" w:firstLineChars="0"/>
                    <w:jc w:val="center"/>
                    <w:rPr>
                      <w:sz w:val="21"/>
                      <w:szCs w:val="21"/>
                    </w:rPr>
                  </w:pPr>
                  <w:r>
                    <w:rPr>
                      <w:sz w:val="21"/>
                      <w:szCs w:val="21"/>
                    </w:rPr>
                    <w:t>黑水泥</w:t>
                  </w:r>
                </w:p>
              </w:tc>
              <w:tc>
                <w:tcPr>
                  <w:tcW w:w="3559" w:type="pct"/>
                  <w:tcBorders>
                    <w:tl2br w:val="nil"/>
                    <w:tr2bl w:val="nil"/>
                  </w:tcBorders>
                  <w:vAlign w:val="center"/>
                </w:tcPr>
                <w:p w14:paraId="724F9322">
                  <w:pPr>
                    <w:spacing w:line="240" w:lineRule="auto"/>
                    <w:ind w:firstLine="0" w:firstLineChars="0"/>
                    <w:jc w:val="center"/>
                    <w:rPr>
                      <w:sz w:val="21"/>
                      <w:szCs w:val="21"/>
                    </w:rPr>
                  </w:pPr>
                  <w:r>
                    <w:rPr>
                      <w:rFonts w:hint="eastAsia"/>
                      <w:sz w:val="21"/>
                      <w:szCs w:val="21"/>
                    </w:rPr>
                    <w:t>普通硅酸盐水泥（Portland Cement）</w:t>
                  </w:r>
                  <w:r>
                    <w:rPr>
                      <w:sz w:val="21"/>
                      <w:szCs w:val="21"/>
                    </w:rPr>
                    <w:t>。化学组成以硅酸钙（CaSiO</w:t>
                  </w:r>
                  <w:r>
                    <w:rPr>
                      <w:rFonts w:hint="eastAsia"/>
                      <w:sz w:val="21"/>
                      <w:szCs w:val="21"/>
                      <w:vertAlign w:val="subscript"/>
                    </w:rPr>
                    <w:t>3</w:t>
                  </w:r>
                  <w:r>
                    <w:rPr>
                      <w:sz w:val="21"/>
                      <w:szCs w:val="21"/>
                    </w:rPr>
                    <w:t>）为主，含氧化铁（Fe</w:t>
                  </w:r>
                  <w:r>
                    <w:rPr>
                      <w:rFonts w:hint="eastAsia"/>
                      <w:sz w:val="21"/>
                      <w:szCs w:val="21"/>
                      <w:vertAlign w:val="subscript"/>
                    </w:rPr>
                    <w:t>2</w:t>
                  </w:r>
                  <w:r>
                    <w:rPr>
                      <w:sz w:val="21"/>
                      <w:szCs w:val="21"/>
                    </w:rPr>
                    <w:t>O</w:t>
                  </w:r>
                  <w:r>
                    <w:rPr>
                      <w:rFonts w:hint="eastAsia"/>
                      <w:sz w:val="21"/>
                      <w:szCs w:val="21"/>
                      <w:vertAlign w:val="subscript"/>
                    </w:rPr>
                    <w:t>3</w:t>
                  </w:r>
                  <w:r>
                    <w:rPr>
                      <w:sz w:val="21"/>
                      <w:szCs w:val="21"/>
                    </w:rPr>
                    <w:t>）3%~8%</w:t>
                  </w:r>
                </w:p>
              </w:tc>
            </w:tr>
            <w:tr w14:paraId="130014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tcBorders>
                    <w:tl2br w:val="nil"/>
                    <w:tr2bl w:val="nil"/>
                  </w:tcBorders>
                  <w:vAlign w:val="center"/>
                </w:tcPr>
                <w:p w14:paraId="0358C729">
                  <w:pPr>
                    <w:spacing w:line="240" w:lineRule="auto"/>
                    <w:ind w:firstLine="0" w:firstLineChars="0"/>
                    <w:jc w:val="center"/>
                    <w:rPr>
                      <w:sz w:val="21"/>
                      <w:szCs w:val="21"/>
                    </w:rPr>
                  </w:pPr>
                  <w:r>
                    <w:rPr>
                      <w:rFonts w:hint="eastAsia"/>
                      <w:sz w:val="21"/>
                      <w:szCs w:val="21"/>
                    </w:rPr>
                    <w:t>2</w:t>
                  </w:r>
                </w:p>
              </w:tc>
              <w:tc>
                <w:tcPr>
                  <w:tcW w:w="958" w:type="pct"/>
                  <w:tcBorders>
                    <w:tl2br w:val="nil"/>
                    <w:tr2bl w:val="nil"/>
                  </w:tcBorders>
                  <w:vAlign w:val="center"/>
                </w:tcPr>
                <w:p w14:paraId="056D8852">
                  <w:pPr>
                    <w:spacing w:line="240" w:lineRule="auto"/>
                    <w:ind w:firstLine="0" w:firstLineChars="0"/>
                    <w:jc w:val="center"/>
                    <w:rPr>
                      <w:sz w:val="21"/>
                      <w:szCs w:val="21"/>
                    </w:rPr>
                  </w:pPr>
                  <w:r>
                    <w:rPr>
                      <w:sz w:val="21"/>
                      <w:szCs w:val="21"/>
                    </w:rPr>
                    <w:t>白水泥</w:t>
                  </w:r>
                </w:p>
              </w:tc>
              <w:tc>
                <w:tcPr>
                  <w:tcW w:w="3559" w:type="pct"/>
                  <w:tcBorders>
                    <w:tl2br w:val="nil"/>
                    <w:tr2bl w:val="nil"/>
                  </w:tcBorders>
                  <w:vAlign w:val="center"/>
                </w:tcPr>
                <w:p w14:paraId="7B4A5FD5">
                  <w:pPr>
                    <w:spacing w:line="240" w:lineRule="auto"/>
                    <w:ind w:firstLine="0" w:firstLineChars="0"/>
                    <w:jc w:val="center"/>
                    <w:rPr>
                      <w:sz w:val="21"/>
                      <w:szCs w:val="21"/>
                    </w:rPr>
                  </w:pPr>
                  <w:r>
                    <w:rPr>
                      <w:rFonts w:hint="eastAsia"/>
                      <w:sz w:val="21"/>
                      <w:szCs w:val="21"/>
                    </w:rPr>
                    <w:t>白水泥主要成分：硅酸钙（CaSiO</w:t>
                  </w:r>
                  <w:r>
                    <w:rPr>
                      <w:rFonts w:hint="eastAsia"/>
                      <w:sz w:val="21"/>
                      <w:szCs w:val="21"/>
                      <w:vertAlign w:val="subscript"/>
                    </w:rPr>
                    <w:t>3</w:t>
                  </w:r>
                  <w:r>
                    <w:rPr>
                      <w:rFonts w:hint="eastAsia"/>
                      <w:sz w:val="21"/>
                      <w:szCs w:val="21"/>
                    </w:rPr>
                    <w:t>）占比＞70%；石膏（CaSO</w:t>
                  </w:r>
                  <w:r>
                    <w:rPr>
                      <w:rFonts w:hint="eastAsia"/>
                      <w:sz w:val="21"/>
                      <w:szCs w:val="21"/>
                      <w:vertAlign w:val="subscript"/>
                    </w:rPr>
                    <w:t>4</w:t>
                  </w:r>
                  <w:r>
                    <w:rPr>
                      <w:rFonts w:hint="eastAsia"/>
                      <w:sz w:val="21"/>
                      <w:szCs w:val="21"/>
                    </w:rPr>
                    <w:t>）添加量3%~5%，和微量杂质：氧化镁（MgO）＜6%、三氧化硫（SO</w:t>
                  </w:r>
                  <w:r>
                    <w:rPr>
                      <w:rFonts w:hint="eastAsia"/>
                      <w:sz w:val="21"/>
                      <w:szCs w:val="21"/>
                      <w:vertAlign w:val="subscript"/>
                    </w:rPr>
                    <w:t>3</w:t>
                  </w:r>
                  <w:r>
                    <w:rPr>
                      <w:rFonts w:hint="eastAsia"/>
                      <w:sz w:val="21"/>
                      <w:szCs w:val="21"/>
                    </w:rPr>
                    <w:t>）＜3.5%</w:t>
                  </w:r>
                </w:p>
              </w:tc>
            </w:tr>
            <w:tr w14:paraId="51078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tcBorders>
                    <w:tl2br w:val="nil"/>
                    <w:tr2bl w:val="nil"/>
                  </w:tcBorders>
                  <w:vAlign w:val="center"/>
                </w:tcPr>
                <w:p w14:paraId="578D9B77">
                  <w:pPr>
                    <w:spacing w:line="240" w:lineRule="auto"/>
                    <w:ind w:firstLine="0" w:firstLineChars="0"/>
                    <w:jc w:val="center"/>
                    <w:rPr>
                      <w:sz w:val="21"/>
                      <w:szCs w:val="21"/>
                    </w:rPr>
                  </w:pPr>
                  <w:r>
                    <w:rPr>
                      <w:rFonts w:hint="eastAsia"/>
                      <w:sz w:val="21"/>
                      <w:szCs w:val="21"/>
                    </w:rPr>
                    <w:t>3</w:t>
                  </w:r>
                </w:p>
              </w:tc>
              <w:tc>
                <w:tcPr>
                  <w:tcW w:w="958" w:type="pct"/>
                  <w:tcBorders>
                    <w:tl2br w:val="nil"/>
                    <w:tr2bl w:val="nil"/>
                  </w:tcBorders>
                  <w:vAlign w:val="center"/>
                </w:tcPr>
                <w:p w14:paraId="4C9EAF3B">
                  <w:pPr>
                    <w:spacing w:line="240" w:lineRule="auto"/>
                    <w:ind w:firstLine="0" w:firstLineChars="0"/>
                    <w:jc w:val="center"/>
                    <w:rPr>
                      <w:sz w:val="21"/>
                      <w:szCs w:val="21"/>
                    </w:rPr>
                  </w:pPr>
                  <w:r>
                    <w:rPr>
                      <w:rFonts w:hint="eastAsia"/>
                      <w:sz w:val="21"/>
                      <w:szCs w:val="21"/>
                    </w:rPr>
                    <w:t>沙子</w:t>
                  </w:r>
                </w:p>
              </w:tc>
              <w:tc>
                <w:tcPr>
                  <w:tcW w:w="3559" w:type="pct"/>
                  <w:tcBorders>
                    <w:tl2br w:val="nil"/>
                    <w:tr2bl w:val="nil"/>
                  </w:tcBorders>
                  <w:vAlign w:val="center"/>
                </w:tcPr>
                <w:p w14:paraId="178DBE95">
                  <w:pPr>
                    <w:spacing w:line="240" w:lineRule="auto"/>
                    <w:ind w:firstLine="0" w:firstLineChars="0"/>
                    <w:jc w:val="center"/>
                    <w:rPr>
                      <w:sz w:val="21"/>
                      <w:szCs w:val="21"/>
                    </w:rPr>
                  </w:pPr>
                  <w:r>
                    <w:rPr>
                      <w:rFonts w:hint="eastAsia"/>
                      <w:sz w:val="21"/>
                      <w:szCs w:val="21"/>
                    </w:rPr>
                    <w:t>核心成分为二氧化硅（SiO</w:t>
                  </w:r>
                  <w:r>
                    <w:rPr>
                      <w:rFonts w:hint="eastAsia"/>
                      <w:sz w:val="21"/>
                      <w:szCs w:val="21"/>
                      <w:vertAlign w:val="subscript"/>
                    </w:rPr>
                    <w:t>2</w:t>
                  </w:r>
                  <w:r>
                    <w:rPr>
                      <w:rFonts w:hint="eastAsia"/>
                      <w:sz w:val="21"/>
                      <w:szCs w:val="21"/>
                    </w:rPr>
                    <w:t>）：占比70-90%（以石英形式存在），其余杂质矿物为长石、云母、氧化铁（绿色）、碳酸钙等。堆积密度：1.28-1.48 吨/立方米（因含水率变化），熔点：约1750℃（耐高温性优）</w:t>
                  </w:r>
                </w:p>
              </w:tc>
            </w:tr>
            <w:tr w14:paraId="474D17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tcBorders>
                    <w:tl2br w:val="nil"/>
                    <w:tr2bl w:val="nil"/>
                  </w:tcBorders>
                  <w:vAlign w:val="center"/>
                </w:tcPr>
                <w:p w14:paraId="15476111">
                  <w:pPr>
                    <w:spacing w:line="240" w:lineRule="auto"/>
                    <w:ind w:firstLine="0" w:firstLineChars="0"/>
                    <w:jc w:val="center"/>
                    <w:rPr>
                      <w:sz w:val="21"/>
                      <w:szCs w:val="21"/>
                    </w:rPr>
                  </w:pPr>
                  <w:r>
                    <w:rPr>
                      <w:rFonts w:hint="eastAsia"/>
                      <w:sz w:val="21"/>
                      <w:szCs w:val="21"/>
                    </w:rPr>
                    <w:t>4</w:t>
                  </w:r>
                </w:p>
              </w:tc>
              <w:tc>
                <w:tcPr>
                  <w:tcW w:w="958" w:type="pct"/>
                  <w:tcBorders>
                    <w:tl2br w:val="nil"/>
                    <w:tr2bl w:val="nil"/>
                  </w:tcBorders>
                  <w:vAlign w:val="center"/>
                </w:tcPr>
                <w:p w14:paraId="0DB88705">
                  <w:pPr>
                    <w:spacing w:line="240" w:lineRule="auto"/>
                    <w:ind w:firstLine="0" w:firstLineChars="0"/>
                    <w:jc w:val="center"/>
                    <w:rPr>
                      <w:sz w:val="21"/>
                      <w:szCs w:val="21"/>
                    </w:rPr>
                  </w:pPr>
                  <w:r>
                    <w:rPr>
                      <w:rFonts w:hint="eastAsia"/>
                      <w:sz w:val="21"/>
                      <w:szCs w:val="21"/>
                    </w:rPr>
                    <w:t>白石粉</w:t>
                  </w:r>
                </w:p>
              </w:tc>
              <w:tc>
                <w:tcPr>
                  <w:tcW w:w="3559" w:type="pct"/>
                  <w:tcBorders>
                    <w:tl2br w:val="nil"/>
                    <w:tr2bl w:val="nil"/>
                  </w:tcBorders>
                  <w:vAlign w:val="center"/>
                </w:tcPr>
                <w:p w14:paraId="2BF4B454">
                  <w:pPr>
                    <w:spacing w:line="240" w:lineRule="auto"/>
                    <w:ind w:firstLine="0" w:firstLineChars="0"/>
                    <w:jc w:val="center"/>
                    <w:rPr>
                      <w:sz w:val="21"/>
                      <w:szCs w:val="21"/>
                    </w:rPr>
                  </w:pPr>
                  <w:r>
                    <w:rPr>
                      <w:rFonts w:hint="eastAsia"/>
                      <w:sz w:val="21"/>
                      <w:szCs w:val="21"/>
                    </w:rPr>
                    <w:t>主要成分为碳酸钙（CaCO</w:t>
                  </w:r>
                  <w:r>
                    <w:rPr>
                      <w:rFonts w:hint="eastAsia"/>
                      <w:sz w:val="21"/>
                      <w:szCs w:val="21"/>
                      <w:vertAlign w:val="subscript"/>
                    </w:rPr>
                    <w:t>3</w:t>
                  </w:r>
                  <w:r>
                    <w:rPr>
                      <w:rFonts w:hint="eastAsia"/>
                      <w:sz w:val="21"/>
                      <w:szCs w:val="21"/>
                    </w:rPr>
                    <w:t>）占比＞90%，含微量镁、铁等杂质，高温下（＞825℃）分解为氧化钙和二氧化碳，细度325-1250目（常用325-400目），粒径5-40微米。</w:t>
                  </w:r>
                </w:p>
              </w:tc>
            </w:tr>
            <w:tr w14:paraId="1DE06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2" w:type="pct"/>
                  <w:tcBorders>
                    <w:tl2br w:val="nil"/>
                    <w:tr2bl w:val="nil"/>
                  </w:tcBorders>
                  <w:vAlign w:val="center"/>
                </w:tcPr>
                <w:p w14:paraId="3F1D1FD8">
                  <w:pPr>
                    <w:spacing w:line="240" w:lineRule="auto"/>
                    <w:ind w:firstLine="0" w:firstLineChars="0"/>
                    <w:jc w:val="center"/>
                    <w:rPr>
                      <w:sz w:val="21"/>
                      <w:szCs w:val="21"/>
                    </w:rPr>
                  </w:pPr>
                  <w:r>
                    <w:rPr>
                      <w:rFonts w:hint="eastAsia"/>
                      <w:sz w:val="21"/>
                      <w:szCs w:val="21"/>
                    </w:rPr>
                    <w:t>5</w:t>
                  </w:r>
                </w:p>
              </w:tc>
              <w:tc>
                <w:tcPr>
                  <w:tcW w:w="958" w:type="pct"/>
                  <w:tcBorders>
                    <w:tl2br w:val="nil"/>
                    <w:tr2bl w:val="nil"/>
                  </w:tcBorders>
                  <w:vAlign w:val="center"/>
                </w:tcPr>
                <w:p w14:paraId="62939BCD">
                  <w:pPr>
                    <w:spacing w:line="240" w:lineRule="auto"/>
                    <w:ind w:firstLine="0" w:firstLineChars="0"/>
                    <w:jc w:val="center"/>
                    <w:rPr>
                      <w:sz w:val="21"/>
                      <w:szCs w:val="21"/>
                    </w:rPr>
                  </w:pPr>
                  <w:r>
                    <w:rPr>
                      <w:rFonts w:hint="eastAsia"/>
                      <w:sz w:val="21"/>
                      <w:szCs w:val="21"/>
                    </w:rPr>
                    <w:t>石膏</w:t>
                  </w:r>
                </w:p>
              </w:tc>
              <w:tc>
                <w:tcPr>
                  <w:tcW w:w="3559" w:type="pct"/>
                  <w:tcBorders>
                    <w:tl2br w:val="nil"/>
                    <w:tr2bl w:val="nil"/>
                  </w:tcBorders>
                  <w:vAlign w:val="center"/>
                </w:tcPr>
                <w:p w14:paraId="06B2D048">
                  <w:pPr>
                    <w:spacing w:line="240" w:lineRule="auto"/>
                    <w:ind w:firstLine="0" w:firstLineChars="0"/>
                    <w:jc w:val="center"/>
                    <w:rPr>
                      <w:sz w:val="21"/>
                      <w:szCs w:val="21"/>
                    </w:rPr>
                  </w:pPr>
                  <w:r>
                    <w:rPr>
                      <w:rFonts w:hint="eastAsia"/>
                      <w:sz w:val="21"/>
                      <w:szCs w:val="21"/>
                    </w:rPr>
                    <w:t>白色至灰白色，密度2.3-2.9g/cm，莫氏硬度1.5-2，强吸湿性（可吸收自身重量水分），遇水硬化（熟石膏特性）。熔点1450℃，150℃脱水为半水石膏，800℃以上转为硬石膏。</w:t>
                  </w:r>
                </w:p>
              </w:tc>
            </w:tr>
            <w:tr w14:paraId="2D6949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6FC2F2C">
                  <w:pPr>
                    <w:spacing w:line="240" w:lineRule="auto"/>
                    <w:ind w:firstLine="0" w:firstLineChars="0"/>
                    <w:jc w:val="center"/>
                    <w:rPr>
                      <w:sz w:val="21"/>
                      <w:szCs w:val="21"/>
                    </w:rPr>
                  </w:pPr>
                  <w:r>
                    <w:rPr>
                      <w:rFonts w:hint="eastAsia"/>
                      <w:sz w:val="21"/>
                      <w:szCs w:val="21"/>
                    </w:rPr>
                    <w:t>6</w:t>
                  </w:r>
                </w:p>
              </w:tc>
              <w:tc>
                <w:tcPr>
                  <w:tcW w:w="0" w:type="auto"/>
                  <w:vAlign w:val="center"/>
                </w:tcPr>
                <w:p w14:paraId="724A1126">
                  <w:pPr>
                    <w:spacing w:line="240" w:lineRule="auto"/>
                    <w:ind w:firstLine="0" w:firstLineChars="0"/>
                    <w:jc w:val="center"/>
                    <w:rPr>
                      <w:sz w:val="21"/>
                      <w:szCs w:val="21"/>
                    </w:rPr>
                  </w:pPr>
                  <w:r>
                    <w:rPr>
                      <w:rFonts w:hint="eastAsia"/>
                      <w:sz w:val="21"/>
                      <w:szCs w:val="21"/>
                    </w:rPr>
                    <w:t>纤维素</w:t>
                  </w:r>
                </w:p>
              </w:tc>
              <w:tc>
                <w:tcPr>
                  <w:tcW w:w="0" w:type="auto"/>
                </w:tcPr>
                <w:p w14:paraId="5C9E81C9">
                  <w:pPr>
                    <w:spacing w:line="240" w:lineRule="auto"/>
                    <w:ind w:firstLine="0" w:firstLineChars="0"/>
                    <w:jc w:val="center"/>
                    <w:rPr>
                      <w:sz w:val="21"/>
                      <w:szCs w:val="21"/>
                    </w:rPr>
                  </w:pPr>
                  <w:r>
                    <w:rPr>
                      <w:rFonts w:hint="eastAsia"/>
                      <w:sz w:val="21"/>
                      <w:szCs w:val="21"/>
                    </w:rPr>
                    <w:t>无色透明、坚硬脆性固体，天然形态为纤维状或片状，不溶于水、乙醇、乙醚等常见溶剂，可溶于铜氨溶液（Cu（NH</w:t>
                  </w:r>
                  <w:r>
                    <w:rPr>
                      <w:rFonts w:hint="eastAsia"/>
                      <w:sz w:val="21"/>
                      <w:szCs w:val="21"/>
                      <w:vertAlign w:val="subscript"/>
                    </w:rPr>
                    <w:t>3</w:t>
                  </w:r>
                  <w:r>
                    <w:rPr>
                      <w:rFonts w:hint="eastAsia"/>
                      <w:sz w:val="21"/>
                      <w:szCs w:val="21"/>
                    </w:rPr>
                    <w:t>）</w:t>
                  </w:r>
                  <w:r>
                    <w:rPr>
                      <w:rFonts w:hint="eastAsia"/>
                      <w:sz w:val="21"/>
                      <w:szCs w:val="21"/>
                      <w:vertAlign w:val="subscript"/>
                    </w:rPr>
                    <w:t>4</w:t>
                  </w:r>
                  <w:r>
                    <w:rPr>
                      <w:rFonts w:hint="eastAsia"/>
                      <w:sz w:val="21"/>
                      <w:szCs w:val="21"/>
                    </w:rPr>
                    <w:t>（OH）</w:t>
                  </w:r>
                  <w:r>
                    <w:rPr>
                      <w:rFonts w:hint="eastAsia"/>
                      <w:sz w:val="21"/>
                      <w:szCs w:val="21"/>
                      <w:vertAlign w:val="subscript"/>
                    </w:rPr>
                    <w:t>2</w:t>
                  </w:r>
                  <w:r>
                    <w:rPr>
                      <w:rFonts w:hint="eastAsia"/>
                      <w:sz w:val="21"/>
                      <w:szCs w:val="21"/>
                    </w:rPr>
                    <w:t>）或铜乙二胺溶液（需特定条件），可吸收大量水分膨胀，形成胶状物。</w:t>
                  </w:r>
                </w:p>
              </w:tc>
            </w:tr>
          </w:tbl>
          <w:p w14:paraId="56211CDD">
            <w:pPr>
              <w:ind w:firstLine="482"/>
              <w:rPr>
                <w:b/>
                <w:bCs/>
              </w:rPr>
            </w:pPr>
          </w:p>
          <w:p w14:paraId="3DC87E19">
            <w:pPr>
              <w:pStyle w:val="2"/>
            </w:pPr>
          </w:p>
          <w:p w14:paraId="2DCC0D27">
            <w:pPr>
              <w:ind w:firstLine="480"/>
            </w:pPr>
          </w:p>
          <w:p w14:paraId="1F3BA266">
            <w:pPr>
              <w:ind w:firstLine="482"/>
              <w:rPr>
                <w:b/>
                <w:bCs/>
              </w:rPr>
            </w:pPr>
            <w:r>
              <w:rPr>
                <w:rFonts w:hint="eastAsia"/>
                <w:b/>
                <w:bCs/>
              </w:rPr>
              <w:t>（2）主要生产设备</w:t>
            </w:r>
          </w:p>
          <w:p w14:paraId="560A2491">
            <w:pPr>
              <w:ind w:firstLine="480"/>
            </w:pPr>
            <w:r>
              <w:rPr>
                <w:rFonts w:hint="eastAsia"/>
              </w:rPr>
              <w:t>本项目主要设备见表2.3-4。</w:t>
            </w:r>
          </w:p>
          <w:p w14:paraId="65EA2ED1">
            <w:pPr>
              <w:spacing w:before="120" w:beforeLines="50" w:line="240" w:lineRule="auto"/>
              <w:ind w:firstLine="482"/>
              <w:jc w:val="center"/>
              <w:rPr>
                <w:b/>
                <w:szCs w:val="21"/>
              </w:rPr>
            </w:pPr>
            <w:r>
              <w:rPr>
                <w:rFonts w:hint="eastAsia"/>
                <w:b/>
                <w:szCs w:val="21"/>
              </w:rPr>
              <w:t>表2.3-4 主要设备一览表</w:t>
            </w:r>
          </w:p>
          <w:tbl>
            <w:tblPr>
              <w:tblStyle w:val="30"/>
              <w:tblW w:w="80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3120"/>
              <w:gridCol w:w="2771"/>
              <w:gridCol w:w="1446"/>
            </w:tblGrid>
            <w:tr w14:paraId="2B751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720" w:type="dxa"/>
                  <w:tcBorders>
                    <w:tl2br w:val="nil"/>
                    <w:tr2bl w:val="nil"/>
                  </w:tcBorders>
                  <w:vAlign w:val="center"/>
                </w:tcPr>
                <w:p w14:paraId="54AD1D35">
                  <w:pPr>
                    <w:spacing w:line="240" w:lineRule="auto"/>
                    <w:ind w:firstLine="0" w:firstLineChars="0"/>
                    <w:jc w:val="center"/>
                    <w:rPr>
                      <w:b/>
                      <w:bCs/>
                      <w:sz w:val="21"/>
                      <w:szCs w:val="21"/>
                    </w:rPr>
                  </w:pPr>
                  <w:r>
                    <w:rPr>
                      <w:rFonts w:hint="eastAsia"/>
                      <w:b/>
                      <w:bCs/>
                      <w:sz w:val="21"/>
                      <w:szCs w:val="21"/>
                    </w:rPr>
                    <w:t>序号</w:t>
                  </w:r>
                </w:p>
              </w:tc>
              <w:tc>
                <w:tcPr>
                  <w:tcW w:w="3120" w:type="dxa"/>
                  <w:tcBorders>
                    <w:tl2br w:val="nil"/>
                    <w:tr2bl w:val="nil"/>
                  </w:tcBorders>
                  <w:vAlign w:val="center"/>
                </w:tcPr>
                <w:p w14:paraId="523FEE55">
                  <w:pPr>
                    <w:spacing w:line="240" w:lineRule="auto"/>
                    <w:ind w:firstLine="0" w:firstLineChars="0"/>
                    <w:jc w:val="center"/>
                    <w:rPr>
                      <w:b/>
                      <w:bCs/>
                      <w:sz w:val="21"/>
                      <w:szCs w:val="21"/>
                    </w:rPr>
                  </w:pPr>
                  <w:r>
                    <w:rPr>
                      <w:rFonts w:hint="eastAsia"/>
                      <w:b/>
                      <w:bCs/>
                      <w:sz w:val="21"/>
                      <w:szCs w:val="21"/>
                    </w:rPr>
                    <w:t>设备名称</w:t>
                  </w:r>
                </w:p>
              </w:tc>
              <w:tc>
                <w:tcPr>
                  <w:tcW w:w="2771" w:type="dxa"/>
                  <w:tcBorders>
                    <w:tl2br w:val="nil"/>
                    <w:tr2bl w:val="nil"/>
                  </w:tcBorders>
                  <w:vAlign w:val="center"/>
                </w:tcPr>
                <w:p w14:paraId="3BDEF5F7">
                  <w:pPr>
                    <w:spacing w:line="240" w:lineRule="auto"/>
                    <w:ind w:firstLine="0" w:firstLineChars="0"/>
                    <w:jc w:val="center"/>
                    <w:rPr>
                      <w:b/>
                      <w:bCs/>
                      <w:sz w:val="21"/>
                      <w:szCs w:val="21"/>
                    </w:rPr>
                  </w:pPr>
                  <w:r>
                    <w:rPr>
                      <w:rFonts w:hint="eastAsia"/>
                      <w:b/>
                      <w:bCs/>
                      <w:sz w:val="21"/>
                      <w:szCs w:val="21"/>
                    </w:rPr>
                    <w:t>数量</w:t>
                  </w:r>
                </w:p>
              </w:tc>
              <w:tc>
                <w:tcPr>
                  <w:tcW w:w="1446" w:type="dxa"/>
                  <w:tcBorders>
                    <w:tl2br w:val="nil"/>
                    <w:tr2bl w:val="nil"/>
                  </w:tcBorders>
                  <w:vAlign w:val="center"/>
                </w:tcPr>
                <w:p w14:paraId="71C735E6">
                  <w:pPr>
                    <w:spacing w:line="240" w:lineRule="auto"/>
                    <w:ind w:firstLine="0" w:firstLineChars="0"/>
                    <w:jc w:val="center"/>
                    <w:rPr>
                      <w:b/>
                      <w:bCs/>
                      <w:sz w:val="21"/>
                      <w:szCs w:val="21"/>
                    </w:rPr>
                  </w:pPr>
                  <w:r>
                    <w:rPr>
                      <w:rFonts w:hint="eastAsia"/>
                      <w:b/>
                      <w:bCs/>
                      <w:sz w:val="21"/>
                      <w:szCs w:val="21"/>
                    </w:rPr>
                    <w:t>备注</w:t>
                  </w:r>
                </w:p>
              </w:tc>
            </w:tr>
            <w:tr w14:paraId="6636B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0F7D4B70">
                  <w:pPr>
                    <w:spacing w:line="240" w:lineRule="auto"/>
                    <w:ind w:firstLine="0" w:firstLineChars="0"/>
                    <w:jc w:val="center"/>
                    <w:rPr>
                      <w:sz w:val="21"/>
                      <w:szCs w:val="21"/>
                    </w:rPr>
                  </w:pPr>
                  <w:r>
                    <w:rPr>
                      <w:rFonts w:hint="eastAsia"/>
                      <w:sz w:val="21"/>
                      <w:szCs w:val="21"/>
                    </w:rPr>
                    <w:t>1</w:t>
                  </w:r>
                </w:p>
              </w:tc>
              <w:tc>
                <w:tcPr>
                  <w:tcW w:w="3120" w:type="dxa"/>
                  <w:tcBorders>
                    <w:tl2br w:val="nil"/>
                    <w:tr2bl w:val="nil"/>
                  </w:tcBorders>
                  <w:vAlign w:val="center"/>
                </w:tcPr>
                <w:p w14:paraId="50DBC610">
                  <w:pPr>
                    <w:spacing w:line="240" w:lineRule="auto"/>
                    <w:ind w:firstLine="0" w:firstLineChars="0"/>
                    <w:jc w:val="center"/>
                    <w:rPr>
                      <w:sz w:val="21"/>
                      <w:szCs w:val="21"/>
                    </w:rPr>
                  </w:pPr>
                  <w:r>
                    <w:rPr>
                      <w:rFonts w:hint="eastAsia"/>
                      <w:sz w:val="21"/>
                      <w:szCs w:val="21"/>
                    </w:rPr>
                    <w:t>原料储存罐</w:t>
                  </w:r>
                </w:p>
              </w:tc>
              <w:tc>
                <w:tcPr>
                  <w:tcW w:w="2771" w:type="dxa"/>
                  <w:tcBorders>
                    <w:tl2br w:val="nil"/>
                    <w:tr2bl w:val="nil"/>
                  </w:tcBorders>
                  <w:vAlign w:val="center"/>
                </w:tcPr>
                <w:p w14:paraId="317F918C">
                  <w:pPr>
                    <w:spacing w:line="240" w:lineRule="auto"/>
                    <w:ind w:firstLine="0" w:firstLineChars="0"/>
                    <w:jc w:val="center"/>
                    <w:rPr>
                      <w:sz w:val="21"/>
                      <w:szCs w:val="21"/>
                    </w:rPr>
                  </w:pPr>
                  <w:r>
                    <w:rPr>
                      <w:rFonts w:hint="eastAsia"/>
                      <w:sz w:val="21"/>
                      <w:szCs w:val="21"/>
                    </w:rPr>
                    <w:t>5个</w:t>
                  </w:r>
                </w:p>
              </w:tc>
              <w:tc>
                <w:tcPr>
                  <w:tcW w:w="1446" w:type="dxa"/>
                  <w:tcBorders>
                    <w:tl2br w:val="nil"/>
                    <w:tr2bl w:val="nil"/>
                  </w:tcBorders>
                  <w:vAlign w:val="center"/>
                </w:tcPr>
                <w:p w14:paraId="76B86AF2">
                  <w:pPr>
                    <w:spacing w:line="240" w:lineRule="auto"/>
                    <w:ind w:firstLine="0" w:firstLineChars="0"/>
                    <w:jc w:val="center"/>
                    <w:rPr>
                      <w:sz w:val="21"/>
                      <w:szCs w:val="21"/>
                    </w:rPr>
                  </w:pPr>
                  <w:r>
                    <w:rPr>
                      <w:rFonts w:hint="eastAsia"/>
                      <w:sz w:val="21"/>
                      <w:szCs w:val="21"/>
                    </w:rPr>
                    <w:t>15t</w:t>
                  </w:r>
                  <w:r>
                    <w:rPr>
                      <w:rFonts w:hint="eastAsia"/>
                    </w:rPr>
                    <w:t>/个</w:t>
                  </w:r>
                </w:p>
              </w:tc>
            </w:tr>
            <w:tr w14:paraId="5FEB7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7058416C">
                  <w:pPr>
                    <w:spacing w:line="240" w:lineRule="auto"/>
                    <w:ind w:firstLine="0" w:firstLineChars="0"/>
                    <w:jc w:val="center"/>
                    <w:rPr>
                      <w:sz w:val="21"/>
                      <w:szCs w:val="21"/>
                    </w:rPr>
                  </w:pPr>
                  <w:r>
                    <w:rPr>
                      <w:rFonts w:hint="eastAsia"/>
                      <w:sz w:val="21"/>
                      <w:szCs w:val="21"/>
                    </w:rPr>
                    <w:t>2</w:t>
                  </w:r>
                </w:p>
              </w:tc>
              <w:tc>
                <w:tcPr>
                  <w:tcW w:w="3120" w:type="dxa"/>
                  <w:tcBorders>
                    <w:tl2br w:val="nil"/>
                    <w:tr2bl w:val="nil"/>
                  </w:tcBorders>
                  <w:vAlign w:val="center"/>
                </w:tcPr>
                <w:p w14:paraId="1AFBE8B4">
                  <w:pPr>
                    <w:spacing w:line="240" w:lineRule="auto"/>
                    <w:ind w:firstLine="0" w:firstLineChars="0"/>
                    <w:jc w:val="center"/>
                    <w:rPr>
                      <w:sz w:val="21"/>
                      <w:szCs w:val="21"/>
                    </w:rPr>
                  </w:pPr>
                  <w:r>
                    <w:rPr>
                      <w:rFonts w:hint="eastAsia"/>
                      <w:sz w:val="21"/>
                      <w:szCs w:val="21"/>
                    </w:rPr>
                    <w:t>搅拌机</w:t>
                  </w:r>
                </w:p>
              </w:tc>
              <w:tc>
                <w:tcPr>
                  <w:tcW w:w="2771" w:type="dxa"/>
                  <w:tcBorders>
                    <w:tl2br w:val="nil"/>
                    <w:tr2bl w:val="nil"/>
                  </w:tcBorders>
                  <w:vAlign w:val="center"/>
                </w:tcPr>
                <w:p w14:paraId="5605ECF1">
                  <w:pPr>
                    <w:spacing w:line="240" w:lineRule="auto"/>
                    <w:ind w:firstLine="0" w:firstLineChars="0"/>
                    <w:jc w:val="center"/>
                    <w:rPr>
                      <w:sz w:val="21"/>
                      <w:szCs w:val="21"/>
                    </w:rPr>
                  </w:pPr>
                  <w:r>
                    <w:rPr>
                      <w:rFonts w:hint="eastAsia"/>
                      <w:sz w:val="21"/>
                      <w:szCs w:val="21"/>
                    </w:rPr>
                    <w:t>2台</w:t>
                  </w:r>
                </w:p>
              </w:tc>
              <w:tc>
                <w:tcPr>
                  <w:tcW w:w="1446" w:type="dxa"/>
                  <w:tcBorders>
                    <w:tl2br w:val="nil"/>
                    <w:tr2bl w:val="nil"/>
                  </w:tcBorders>
                  <w:vAlign w:val="center"/>
                </w:tcPr>
                <w:p w14:paraId="752DC9C1">
                  <w:pPr>
                    <w:spacing w:line="240" w:lineRule="auto"/>
                    <w:ind w:firstLine="0" w:firstLineChars="0"/>
                    <w:jc w:val="center"/>
                    <w:rPr>
                      <w:sz w:val="21"/>
                      <w:szCs w:val="21"/>
                    </w:rPr>
                  </w:pPr>
                  <w:r>
                    <w:rPr>
                      <w:rFonts w:hint="eastAsia"/>
                      <w:sz w:val="21"/>
                      <w:szCs w:val="21"/>
                    </w:rPr>
                    <w:t>/</w:t>
                  </w:r>
                </w:p>
              </w:tc>
            </w:tr>
            <w:tr w14:paraId="7DCB0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7A67318B">
                  <w:pPr>
                    <w:spacing w:line="240" w:lineRule="auto"/>
                    <w:ind w:firstLine="0" w:firstLineChars="0"/>
                    <w:jc w:val="center"/>
                    <w:rPr>
                      <w:sz w:val="21"/>
                      <w:szCs w:val="21"/>
                    </w:rPr>
                  </w:pPr>
                  <w:r>
                    <w:rPr>
                      <w:rFonts w:hint="eastAsia"/>
                      <w:sz w:val="21"/>
                      <w:szCs w:val="21"/>
                    </w:rPr>
                    <w:t>3</w:t>
                  </w:r>
                </w:p>
              </w:tc>
              <w:tc>
                <w:tcPr>
                  <w:tcW w:w="3120" w:type="dxa"/>
                  <w:tcBorders>
                    <w:tl2br w:val="nil"/>
                    <w:tr2bl w:val="nil"/>
                  </w:tcBorders>
                  <w:vAlign w:val="center"/>
                </w:tcPr>
                <w:p w14:paraId="1BFD77AF">
                  <w:pPr>
                    <w:spacing w:line="240" w:lineRule="auto"/>
                    <w:ind w:firstLine="0" w:firstLineChars="0"/>
                    <w:jc w:val="center"/>
                    <w:rPr>
                      <w:sz w:val="21"/>
                      <w:szCs w:val="21"/>
                    </w:rPr>
                  </w:pPr>
                  <w:r>
                    <w:rPr>
                      <w:rFonts w:hint="eastAsia"/>
                      <w:sz w:val="21"/>
                      <w:szCs w:val="21"/>
                    </w:rPr>
                    <w:t>成品仓</w:t>
                  </w:r>
                </w:p>
              </w:tc>
              <w:tc>
                <w:tcPr>
                  <w:tcW w:w="2771" w:type="dxa"/>
                  <w:tcBorders>
                    <w:tl2br w:val="nil"/>
                    <w:tr2bl w:val="nil"/>
                  </w:tcBorders>
                  <w:vAlign w:val="center"/>
                </w:tcPr>
                <w:p w14:paraId="061F0E92">
                  <w:pPr>
                    <w:spacing w:line="240" w:lineRule="auto"/>
                    <w:ind w:firstLine="0" w:firstLineChars="0"/>
                    <w:jc w:val="center"/>
                    <w:rPr>
                      <w:sz w:val="21"/>
                      <w:szCs w:val="21"/>
                    </w:rPr>
                  </w:pPr>
                  <w:r>
                    <w:rPr>
                      <w:rFonts w:hint="eastAsia"/>
                      <w:sz w:val="21"/>
                      <w:szCs w:val="21"/>
                    </w:rPr>
                    <w:t>2个</w:t>
                  </w:r>
                </w:p>
              </w:tc>
              <w:tc>
                <w:tcPr>
                  <w:tcW w:w="1446" w:type="dxa"/>
                  <w:tcBorders>
                    <w:tl2br w:val="nil"/>
                    <w:tr2bl w:val="nil"/>
                  </w:tcBorders>
                  <w:vAlign w:val="center"/>
                </w:tcPr>
                <w:p w14:paraId="0DE0FEEA">
                  <w:pPr>
                    <w:spacing w:line="240" w:lineRule="auto"/>
                    <w:ind w:firstLine="0" w:firstLineChars="0"/>
                    <w:jc w:val="center"/>
                    <w:rPr>
                      <w:sz w:val="21"/>
                      <w:szCs w:val="21"/>
                    </w:rPr>
                  </w:pPr>
                  <w:r>
                    <w:rPr>
                      <w:rFonts w:hint="eastAsia"/>
                      <w:sz w:val="21"/>
                      <w:szCs w:val="21"/>
                    </w:rPr>
                    <w:t>5t</w:t>
                  </w:r>
                  <w:r>
                    <w:rPr>
                      <w:rFonts w:hint="eastAsia"/>
                    </w:rPr>
                    <w:t>/个</w:t>
                  </w:r>
                </w:p>
              </w:tc>
            </w:tr>
            <w:tr w14:paraId="4EC053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750FA4AC">
                  <w:pPr>
                    <w:spacing w:line="240" w:lineRule="auto"/>
                    <w:ind w:firstLine="0" w:firstLineChars="0"/>
                    <w:jc w:val="center"/>
                    <w:rPr>
                      <w:sz w:val="21"/>
                      <w:szCs w:val="21"/>
                    </w:rPr>
                  </w:pPr>
                  <w:r>
                    <w:rPr>
                      <w:rFonts w:hint="eastAsia"/>
                      <w:sz w:val="21"/>
                      <w:szCs w:val="21"/>
                    </w:rPr>
                    <w:t>4</w:t>
                  </w:r>
                </w:p>
              </w:tc>
              <w:tc>
                <w:tcPr>
                  <w:tcW w:w="3120" w:type="dxa"/>
                  <w:tcBorders>
                    <w:tl2br w:val="nil"/>
                    <w:tr2bl w:val="nil"/>
                  </w:tcBorders>
                  <w:vAlign w:val="center"/>
                </w:tcPr>
                <w:p w14:paraId="1CE9F6DD">
                  <w:pPr>
                    <w:spacing w:line="240" w:lineRule="auto"/>
                    <w:ind w:firstLine="0" w:firstLineChars="0"/>
                    <w:jc w:val="center"/>
                    <w:rPr>
                      <w:sz w:val="21"/>
                      <w:szCs w:val="21"/>
                    </w:rPr>
                  </w:pPr>
                  <w:r>
                    <w:rPr>
                      <w:rFonts w:hint="eastAsia"/>
                      <w:sz w:val="21"/>
                      <w:szCs w:val="21"/>
                    </w:rPr>
                    <w:t>包装机</w:t>
                  </w:r>
                </w:p>
              </w:tc>
              <w:tc>
                <w:tcPr>
                  <w:tcW w:w="2771" w:type="dxa"/>
                  <w:tcBorders>
                    <w:tl2br w:val="nil"/>
                    <w:tr2bl w:val="nil"/>
                  </w:tcBorders>
                  <w:vAlign w:val="center"/>
                </w:tcPr>
                <w:p w14:paraId="422F4B23">
                  <w:pPr>
                    <w:spacing w:line="240" w:lineRule="auto"/>
                    <w:ind w:firstLine="0" w:firstLineChars="0"/>
                    <w:jc w:val="center"/>
                    <w:rPr>
                      <w:sz w:val="21"/>
                      <w:szCs w:val="21"/>
                    </w:rPr>
                  </w:pPr>
                  <w:r>
                    <w:rPr>
                      <w:rFonts w:hint="eastAsia"/>
                      <w:sz w:val="21"/>
                      <w:szCs w:val="21"/>
                    </w:rPr>
                    <w:t>4套</w:t>
                  </w:r>
                </w:p>
              </w:tc>
              <w:tc>
                <w:tcPr>
                  <w:tcW w:w="1446" w:type="dxa"/>
                  <w:tcBorders>
                    <w:tl2br w:val="nil"/>
                    <w:tr2bl w:val="nil"/>
                  </w:tcBorders>
                  <w:vAlign w:val="center"/>
                </w:tcPr>
                <w:p w14:paraId="1FAC39DF">
                  <w:pPr>
                    <w:spacing w:line="240" w:lineRule="auto"/>
                    <w:ind w:firstLine="0" w:firstLineChars="0"/>
                    <w:jc w:val="center"/>
                    <w:rPr>
                      <w:sz w:val="21"/>
                      <w:szCs w:val="21"/>
                    </w:rPr>
                  </w:pPr>
                  <w:r>
                    <w:rPr>
                      <w:rFonts w:hint="eastAsia"/>
                      <w:sz w:val="21"/>
                      <w:szCs w:val="21"/>
                    </w:rPr>
                    <w:t>/</w:t>
                  </w:r>
                </w:p>
              </w:tc>
            </w:tr>
            <w:tr w14:paraId="7784A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0180111B">
                  <w:pPr>
                    <w:spacing w:line="240" w:lineRule="auto"/>
                    <w:ind w:firstLine="0" w:firstLineChars="0"/>
                    <w:jc w:val="center"/>
                    <w:rPr>
                      <w:sz w:val="21"/>
                      <w:szCs w:val="21"/>
                    </w:rPr>
                  </w:pPr>
                  <w:r>
                    <w:rPr>
                      <w:rFonts w:hint="eastAsia"/>
                      <w:sz w:val="21"/>
                      <w:szCs w:val="21"/>
                    </w:rPr>
                    <w:t>5</w:t>
                  </w:r>
                </w:p>
              </w:tc>
              <w:tc>
                <w:tcPr>
                  <w:tcW w:w="3120" w:type="dxa"/>
                  <w:tcBorders>
                    <w:tl2br w:val="nil"/>
                    <w:tr2bl w:val="nil"/>
                  </w:tcBorders>
                  <w:vAlign w:val="center"/>
                </w:tcPr>
                <w:p w14:paraId="18E9EC4E">
                  <w:pPr>
                    <w:spacing w:line="240" w:lineRule="auto"/>
                    <w:ind w:firstLine="0" w:firstLineChars="0"/>
                    <w:jc w:val="center"/>
                    <w:rPr>
                      <w:sz w:val="21"/>
                      <w:szCs w:val="21"/>
                    </w:rPr>
                  </w:pPr>
                  <w:r>
                    <w:rPr>
                      <w:rFonts w:hint="eastAsia"/>
                      <w:sz w:val="21"/>
                      <w:szCs w:val="21"/>
                    </w:rPr>
                    <w:t>搬运机</w:t>
                  </w:r>
                </w:p>
              </w:tc>
              <w:tc>
                <w:tcPr>
                  <w:tcW w:w="2771" w:type="dxa"/>
                  <w:tcBorders>
                    <w:tl2br w:val="nil"/>
                    <w:tr2bl w:val="nil"/>
                  </w:tcBorders>
                  <w:vAlign w:val="center"/>
                </w:tcPr>
                <w:p w14:paraId="49F3B0E3">
                  <w:pPr>
                    <w:spacing w:line="240" w:lineRule="auto"/>
                    <w:ind w:firstLine="0" w:firstLineChars="0"/>
                    <w:jc w:val="center"/>
                    <w:rPr>
                      <w:sz w:val="21"/>
                      <w:szCs w:val="21"/>
                    </w:rPr>
                  </w:pPr>
                  <w:r>
                    <w:rPr>
                      <w:rFonts w:hint="eastAsia"/>
                      <w:sz w:val="21"/>
                      <w:szCs w:val="21"/>
                    </w:rPr>
                    <w:t>2套</w:t>
                  </w:r>
                </w:p>
              </w:tc>
              <w:tc>
                <w:tcPr>
                  <w:tcW w:w="1446" w:type="dxa"/>
                  <w:tcBorders>
                    <w:tl2br w:val="nil"/>
                    <w:tr2bl w:val="nil"/>
                  </w:tcBorders>
                  <w:vAlign w:val="center"/>
                </w:tcPr>
                <w:p w14:paraId="3234BEA3">
                  <w:pPr>
                    <w:spacing w:line="240" w:lineRule="auto"/>
                    <w:ind w:firstLine="0" w:firstLineChars="0"/>
                    <w:jc w:val="center"/>
                    <w:rPr>
                      <w:sz w:val="21"/>
                      <w:szCs w:val="21"/>
                    </w:rPr>
                  </w:pPr>
                  <w:r>
                    <w:rPr>
                      <w:rFonts w:hint="eastAsia"/>
                      <w:sz w:val="21"/>
                      <w:szCs w:val="21"/>
                    </w:rPr>
                    <w:t>/</w:t>
                  </w:r>
                </w:p>
              </w:tc>
            </w:tr>
            <w:tr w14:paraId="75F3C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B58706F">
                  <w:pPr>
                    <w:spacing w:line="240" w:lineRule="auto"/>
                    <w:ind w:firstLine="0" w:firstLineChars="0"/>
                    <w:jc w:val="center"/>
                    <w:rPr>
                      <w:sz w:val="21"/>
                      <w:szCs w:val="21"/>
                    </w:rPr>
                  </w:pPr>
                  <w:r>
                    <w:rPr>
                      <w:rFonts w:hint="eastAsia"/>
                      <w:sz w:val="21"/>
                      <w:szCs w:val="21"/>
                    </w:rPr>
                    <w:t>6</w:t>
                  </w:r>
                </w:p>
              </w:tc>
              <w:tc>
                <w:tcPr>
                  <w:tcW w:w="3120" w:type="dxa"/>
                  <w:tcBorders>
                    <w:tl2br w:val="nil"/>
                    <w:tr2bl w:val="nil"/>
                  </w:tcBorders>
                  <w:vAlign w:val="center"/>
                </w:tcPr>
                <w:p w14:paraId="0437D4DE">
                  <w:pPr>
                    <w:spacing w:line="240" w:lineRule="auto"/>
                    <w:ind w:firstLine="0" w:firstLineChars="0"/>
                    <w:jc w:val="center"/>
                    <w:rPr>
                      <w:sz w:val="21"/>
                      <w:szCs w:val="21"/>
                    </w:rPr>
                  </w:pPr>
                  <w:r>
                    <w:rPr>
                      <w:rFonts w:hint="eastAsia"/>
                      <w:sz w:val="21"/>
                      <w:szCs w:val="21"/>
                    </w:rPr>
                    <w:t>脉冲布袋除尘器</w:t>
                  </w:r>
                </w:p>
              </w:tc>
              <w:tc>
                <w:tcPr>
                  <w:tcW w:w="2771" w:type="dxa"/>
                  <w:tcBorders>
                    <w:tl2br w:val="nil"/>
                    <w:tr2bl w:val="nil"/>
                  </w:tcBorders>
                  <w:vAlign w:val="center"/>
                </w:tcPr>
                <w:p w14:paraId="4D3D7B42">
                  <w:pPr>
                    <w:spacing w:line="240" w:lineRule="auto"/>
                    <w:ind w:firstLine="0" w:firstLineChars="0"/>
                    <w:jc w:val="center"/>
                    <w:rPr>
                      <w:sz w:val="21"/>
                      <w:szCs w:val="21"/>
                    </w:rPr>
                  </w:pPr>
                  <w:r>
                    <w:rPr>
                      <w:rFonts w:hint="eastAsia"/>
                      <w:sz w:val="21"/>
                      <w:szCs w:val="21"/>
                    </w:rPr>
                    <w:t>1套</w:t>
                  </w:r>
                </w:p>
              </w:tc>
              <w:tc>
                <w:tcPr>
                  <w:tcW w:w="1446" w:type="dxa"/>
                  <w:tcBorders>
                    <w:tl2br w:val="nil"/>
                    <w:tr2bl w:val="nil"/>
                  </w:tcBorders>
                  <w:vAlign w:val="center"/>
                </w:tcPr>
                <w:p w14:paraId="4B258F37">
                  <w:pPr>
                    <w:spacing w:line="240" w:lineRule="auto"/>
                    <w:ind w:firstLine="0" w:firstLineChars="0"/>
                    <w:jc w:val="center"/>
                    <w:rPr>
                      <w:sz w:val="21"/>
                      <w:szCs w:val="21"/>
                    </w:rPr>
                  </w:pPr>
                  <w:r>
                    <w:rPr>
                      <w:rFonts w:hint="eastAsia"/>
                      <w:sz w:val="21"/>
                      <w:szCs w:val="21"/>
                    </w:rPr>
                    <w:t>/</w:t>
                  </w:r>
                </w:p>
              </w:tc>
            </w:tr>
            <w:tr w14:paraId="33C1A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1CF99710">
                  <w:pPr>
                    <w:spacing w:line="240" w:lineRule="auto"/>
                    <w:ind w:firstLine="0" w:firstLineChars="0"/>
                    <w:jc w:val="center"/>
                    <w:rPr>
                      <w:sz w:val="21"/>
                      <w:szCs w:val="21"/>
                    </w:rPr>
                  </w:pPr>
                  <w:bookmarkStart w:id="10" w:name="_Toc22449"/>
                  <w:bookmarkStart w:id="11" w:name="_Toc693"/>
                  <w:bookmarkStart w:id="12" w:name="_Toc14335"/>
                  <w:bookmarkStart w:id="13" w:name="_Toc5169"/>
                  <w:bookmarkStart w:id="14" w:name="_Toc1855"/>
                  <w:r>
                    <w:rPr>
                      <w:rFonts w:hint="eastAsia"/>
                      <w:sz w:val="21"/>
                      <w:szCs w:val="21"/>
                    </w:rPr>
                    <w:t>7</w:t>
                  </w:r>
                </w:p>
              </w:tc>
              <w:tc>
                <w:tcPr>
                  <w:tcW w:w="3120" w:type="dxa"/>
                  <w:tcBorders>
                    <w:tl2br w:val="nil"/>
                    <w:tr2bl w:val="nil"/>
                  </w:tcBorders>
                  <w:vAlign w:val="center"/>
                </w:tcPr>
                <w:p w14:paraId="2D5BC9C0">
                  <w:pPr>
                    <w:spacing w:line="240" w:lineRule="auto"/>
                    <w:ind w:firstLine="0" w:firstLineChars="0"/>
                    <w:jc w:val="center"/>
                    <w:rPr>
                      <w:sz w:val="21"/>
                      <w:szCs w:val="21"/>
                    </w:rPr>
                  </w:pPr>
                  <w:r>
                    <w:rPr>
                      <w:rFonts w:hint="eastAsia"/>
                      <w:sz w:val="21"/>
                      <w:szCs w:val="21"/>
                    </w:rPr>
                    <w:t>叉车</w:t>
                  </w:r>
                </w:p>
              </w:tc>
              <w:tc>
                <w:tcPr>
                  <w:tcW w:w="2771" w:type="dxa"/>
                  <w:tcBorders>
                    <w:tl2br w:val="nil"/>
                    <w:tr2bl w:val="nil"/>
                  </w:tcBorders>
                  <w:vAlign w:val="center"/>
                </w:tcPr>
                <w:p w14:paraId="479CA71C">
                  <w:pPr>
                    <w:spacing w:line="240" w:lineRule="auto"/>
                    <w:ind w:firstLine="0" w:firstLineChars="0"/>
                    <w:jc w:val="center"/>
                    <w:rPr>
                      <w:sz w:val="21"/>
                      <w:szCs w:val="21"/>
                    </w:rPr>
                  </w:pPr>
                  <w:r>
                    <w:rPr>
                      <w:rFonts w:hint="eastAsia"/>
                      <w:sz w:val="21"/>
                      <w:szCs w:val="21"/>
                    </w:rPr>
                    <w:t>1辆</w:t>
                  </w:r>
                </w:p>
              </w:tc>
              <w:tc>
                <w:tcPr>
                  <w:tcW w:w="1446" w:type="dxa"/>
                  <w:tcBorders>
                    <w:tl2br w:val="nil"/>
                    <w:tr2bl w:val="nil"/>
                  </w:tcBorders>
                  <w:vAlign w:val="center"/>
                </w:tcPr>
                <w:p w14:paraId="0654D767">
                  <w:pPr>
                    <w:spacing w:line="240" w:lineRule="auto"/>
                    <w:ind w:firstLine="0" w:firstLineChars="0"/>
                    <w:jc w:val="center"/>
                    <w:rPr>
                      <w:sz w:val="21"/>
                      <w:szCs w:val="21"/>
                    </w:rPr>
                  </w:pPr>
                  <w:r>
                    <w:rPr>
                      <w:rFonts w:hint="eastAsia"/>
                      <w:sz w:val="21"/>
                      <w:szCs w:val="21"/>
                    </w:rPr>
                    <w:t>/</w:t>
                  </w:r>
                </w:p>
              </w:tc>
            </w:tr>
            <w:tr w14:paraId="3C413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596E92A0">
                  <w:pPr>
                    <w:spacing w:line="240" w:lineRule="auto"/>
                    <w:ind w:firstLine="0" w:firstLineChars="0"/>
                    <w:jc w:val="center"/>
                    <w:rPr>
                      <w:sz w:val="21"/>
                      <w:szCs w:val="21"/>
                    </w:rPr>
                  </w:pPr>
                  <w:r>
                    <w:rPr>
                      <w:rFonts w:hint="eastAsia"/>
                      <w:sz w:val="21"/>
                      <w:szCs w:val="21"/>
                    </w:rPr>
                    <w:t>8</w:t>
                  </w:r>
                </w:p>
              </w:tc>
              <w:tc>
                <w:tcPr>
                  <w:tcW w:w="3120" w:type="dxa"/>
                  <w:tcBorders>
                    <w:tl2br w:val="nil"/>
                    <w:tr2bl w:val="nil"/>
                  </w:tcBorders>
                  <w:vAlign w:val="center"/>
                </w:tcPr>
                <w:p w14:paraId="74FB01DC">
                  <w:pPr>
                    <w:spacing w:line="240" w:lineRule="auto"/>
                    <w:ind w:firstLine="0" w:firstLineChars="0"/>
                    <w:jc w:val="center"/>
                    <w:rPr>
                      <w:sz w:val="21"/>
                      <w:szCs w:val="21"/>
                    </w:rPr>
                  </w:pPr>
                  <w:r>
                    <w:rPr>
                      <w:rFonts w:hint="eastAsia"/>
                      <w:sz w:val="21"/>
                      <w:szCs w:val="21"/>
                    </w:rPr>
                    <w:t>风机</w:t>
                  </w:r>
                </w:p>
              </w:tc>
              <w:tc>
                <w:tcPr>
                  <w:tcW w:w="2771" w:type="dxa"/>
                  <w:tcBorders>
                    <w:tl2br w:val="nil"/>
                    <w:tr2bl w:val="nil"/>
                  </w:tcBorders>
                  <w:vAlign w:val="center"/>
                </w:tcPr>
                <w:p w14:paraId="28C8E099">
                  <w:pPr>
                    <w:spacing w:line="240" w:lineRule="auto"/>
                    <w:ind w:firstLine="0" w:firstLineChars="0"/>
                    <w:jc w:val="center"/>
                    <w:rPr>
                      <w:sz w:val="21"/>
                      <w:szCs w:val="21"/>
                    </w:rPr>
                  </w:pPr>
                  <w:r>
                    <w:rPr>
                      <w:rFonts w:hint="eastAsia"/>
                      <w:sz w:val="21"/>
                      <w:szCs w:val="21"/>
                    </w:rPr>
                    <w:t>1台</w:t>
                  </w:r>
                </w:p>
              </w:tc>
              <w:tc>
                <w:tcPr>
                  <w:tcW w:w="1446" w:type="dxa"/>
                  <w:tcBorders>
                    <w:tl2br w:val="nil"/>
                    <w:tr2bl w:val="nil"/>
                  </w:tcBorders>
                  <w:vAlign w:val="center"/>
                </w:tcPr>
                <w:p w14:paraId="5499070F">
                  <w:pPr>
                    <w:spacing w:line="240" w:lineRule="auto"/>
                    <w:ind w:firstLine="0" w:firstLineChars="0"/>
                    <w:jc w:val="center"/>
                    <w:rPr>
                      <w:sz w:val="21"/>
                      <w:szCs w:val="21"/>
                    </w:rPr>
                  </w:pPr>
                  <w:r>
                    <w:rPr>
                      <w:rFonts w:hint="eastAsia"/>
                      <w:sz w:val="21"/>
                      <w:szCs w:val="21"/>
                    </w:rPr>
                    <w:t>10000m</w:t>
                  </w:r>
                  <w:r>
                    <w:rPr>
                      <w:rFonts w:hint="eastAsia"/>
                      <w:sz w:val="21"/>
                      <w:szCs w:val="21"/>
                      <w:vertAlign w:val="superscript"/>
                    </w:rPr>
                    <w:t>3</w:t>
                  </w:r>
                  <w:r>
                    <w:rPr>
                      <w:rFonts w:hint="eastAsia"/>
                      <w:sz w:val="21"/>
                      <w:szCs w:val="21"/>
                    </w:rPr>
                    <w:t>/h</w:t>
                  </w:r>
                </w:p>
              </w:tc>
            </w:tr>
            <w:tr w14:paraId="3665E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3FCDAA24">
                  <w:pPr>
                    <w:spacing w:line="240" w:lineRule="auto"/>
                    <w:ind w:firstLine="0" w:firstLineChars="0"/>
                    <w:jc w:val="center"/>
                    <w:rPr>
                      <w:sz w:val="21"/>
                      <w:szCs w:val="21"/>
                    </w:rPr>
                  </w:pPr>
                  <w:r>
                    <w:rPr>
                      <w:rFonts w:hint="eastAsia"/>
                      <w:sz w:val="21"/>
                      <w:szCs w:val="21"/>
                    </w:rPr>
                    <w:t>9</w:t>
                  </w:r>
                </w:p>
              </w:tc>
              <w:tc>
                <w:tcPr>
                  <w:tcW w:w="3120" w:type="dxa"/>
                  <w:tcBorders>
                    <w:tl2br w:val="nil"/>
                    <w:tr2bl w:val="nil"/>
                  </w:tcBorders>
                  <w:vAlign w:val="center"/>
                </w:tcPr>
                <w:p w14:paraId="09664F6C">
                  <w:pPr>
                    <w:spacing w:line="240" w:lineRule="auto"/>
                    <w:ind w:firstLine="0" w:firstLineChars="0"/>
                    <w:jc w:val="center"/>
                    <w:rPr>
                      <w:sz w:val="21"/>
                      <w:szCs w:val="21"/>
                    </w:rPr>
                  </w:pPr>
                  <w:r>
                    <w:rPr>
                      <w:rFonts w:hint="eastAsia"/>
                      <w:sz w:val="21"/>
                      <w:szCs w:val="21"/>
                    </w:rPr>
                    <w:t>空压机</w:t>
                  </w:r>
                </w:p>
              </w:tc>
              <w:tc>
                <w:tcPr>
                  <w:tcW w:w="2771" w:type="dxa"/>
                  <w:tcBorders>
                    <w:tl2br w:val="nil"/>
                    <w:tr2bl w:val="nil"/>
                  </w:tcBorders>
                  <w:vAlign w:val="center"/>
                </w:tcPr>
                <w:p w14:paraId="7F0E139C">
                  <w:pPr>
                    <w:spacing w:line="240" w:lineRule="auto"/>
                    <w:ind w:firstLine="0" w:firstLineChars="0"/>
                    <w:jc w:val="center"/>
                    <w:rPr>
                      <w:sz w:val="21"/>
                      <w:szCs w:val="21"/>
                    </w:rPr>
                  </w:pPr>
                  <w:r>
                    <w:rPr>
                      <w:rFonts w:hint="eastAsia"/>
                      <w:sz w:val="21"/>
                      <w:szCs w:val="21"/>
                    </w:rPr>
                    <w:t>1台</w:t>
                  </w:r>
                </w:p>
              </w:tc>
              <w:tc>
                <w:tcPr>
                  <w:tcW w:w="1446" w:type="dxa"/>
                  <w:tcBorders>
                    <w:tl2br w:val="nil"/>
                    <w:tr2bl w:val="nil"/>
                  </w:tcBorders>
                  <w:vAlign w:val="center"/>
                </w:tcPr>
                <w:p w14:paraId="6D3A29CE">
                  <w:pPr>
                    <w:spacing w:line="240" w:lineRule="auto"/>
                    <w:ind w:firstLine="0" w:firstLineChars="0"/>
                    <w:jc w:val="center"/>
                    <w:rPr>
                      <w:sz w:val="21"/>
                      <w:szCs w:val="21"/>
                    </w:rPr>
                  </w:pPr>
                </w:p>
              </w:tc>
            </w:tr>
            <w:tr w14:paraId="0B81C5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8639275">
                  <w:pPr>
                    <w:spacing w:line="240" w:lineRule="auto"/>
                    <w:ind w:firstLine="0" w:firstLineChars="0"/>
                    <w:jc w:val="center"/>
                    <w:rPr>
                      <w:sz w:val="21"/>
                      <w:szCs w:val="21"/>
                    </w:rPr>
                  </w:pPr>
                  <w:r>
                    <w:rPr>
                      <w:rFonts w:hint="eastAsia"/>
                      <w:sz w:val="21"/>
                      <w:szCs w:val="21"/>
                    </w:rPr>
                    <w:t>10</w:t>
                  </w:r>
                </w:p>
              </w:tc>
              <w:tc>
                <w:tcPr>
                  <w:tcW w:w="3120" w:type="dxa"/>
                  <w:tcBorders>
                    <w:tl2br w:val="nil"/>
                    <w:tr2bl w:val="nil"/>
                  </w:tcBorders>
                  <w:vAlign w:val="center"/>
                </w:tcPr>
                <w:p w14:paraId="76C9D936">
                  <w:pPr>
                    <w:spacing w:line="240" w:lineRule="auto"/>
                    <w:ind w:firstLine="0" w:firstLineChars="0"/>
                    <w:jc w:val="center"/>
                    <w:rPr>
                      <w:sz w:val="21"/>
                      <w:szCs w:val="21"/>
                    </w:rPr>
                  </w:pPr>
                  <w:r>
                    <w:rPr>
                      <w:rFonts w:hint="eastAsia"/>
                      <w:sz w:val="21"/>
                      <w:szCs w:val="21"/>
                    </w:rPr>
                    <w:t>空气储气罐</w:t>
                  </w:r>
                </w:p>
              </w:tc>
              <w:tc>
                <w:tcPr>
                  <w:tcW w:w="2771" w:type="dxa"/>
                  <w:tcBorders>
                    <w:tl2br w:val="nil"/>
                    <w:tr2bl w:val="nil"/>
                  </w:tcBorders>
                  <w:vAlign w:val="center"/>
                </w:tcPr>
                <w:p w14:paraId="195734D4">
                  <w:pPr>
                    <w:spacing w:line="240" w:lineRule="auto"/>
                    <w:ind w:firstLine="0" w:firstLineChars="0"/>
                    <w:jc w:val="center"/>
                    <w:rPr>
                      <w:sz w:val="21"/>
                      <w:szCs w:val="21"/>
                    </w:rPr>
                  </w:pPr>
                  <w:r>
                    <w:rPr>
                      <w:rFonts w:hint="eastAsia"/>
                      <w:sz w:val="21"/>
                      <w:szCs w:val="21"/>
                    </w:rPr>
                    <w:t>1个</w:t>
                  </w:r>
                </w:p>
              </w:tc>
              <w:tc>
                <w:tcPr>
                  <w:tcW w:w="1446" w:type="dxa"/>
                  <w:tcBorders>
                    <w:tl2br w:val="nil"/>
                    <w:tr2bl w:val="nil"/>
                  </w:tcBorders>
                  <w:vAlign w:val="center"/>
                </w:tcPr>
                <w:p w14:paraId="508B76B3">
                  <w:pPr>
                    <w:spacing w:line="240" w:lineRule="auto"/>
                    <w:ind w:firstLine="0" w:firstLineChars="0"/>
                    <w:jc w:val="center"/>
                    <w:rPr>
                      <w:sz w:val="21"/>
                      <w:szCs w:val="21"/>
                    </w:rPr>
                  </w:pPr>
                  <w:r>
                    <w:rPr>
                      <w:rFonts w:hint="eastAsia"/>
                      <w:sz w:val="21"/>
                      <w:szCs w:val="21"/>
                    </w:rPr>
                    <w:t>5m</w:t>
                  </w:r>
                  <w:r>
                    <w:rPr>
                      <w:rFonts w:hint="eastAsia"/>
                      <w:sz w:val="21"/>
                      <w:szCs w:val="21"/>
                      <w:vertAlign w:val="superscript"/>
                    </w:rPr>
                    <w:t>3</w:t>
                  </w:r>
                </w:p>
              </w:tc>
            </w:tr>
            <w:tr w14:paraId="4FB455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71D5CCD2">
                  <w:pPr>
                    <w:spacing w:line="240" w:lineRule="auto"/>
                    <w:ind w:firstLine="0" w:firstLineChars="0"/>
                    <w:jc w:val="center"/>
                    <w:rPr>
                      <w:sz w:val="21"/>
                      <w:szCs w:val="21"/>
                    </w:rPr>
                  </w:pPr>
                  <w:r>
                    <w:rPr>
                      <w:rFonts w:hint="eastAsia"/>
                      <w:sz w:val="21"/>
                      <w:szCs w:val="21"/>
                    </w:rPr>
                    <w:t>11</w:t>
                  </w:r>
                </w:p>
              </w:tc>
              <w:tc>
                <w:tcPr>
                  <w:tcW w:w="3120" w:type="dxa"/>
                  <w:tcBorders>
                    <w:tl2br w:val="nil"/>
                    <w:tr2bl w:val="nil"/>
                  </w:tcBorders>
                  <w:vAlign w:val="center"/>
                </w:tcPr>
                <w:p w14:paraId="3F1457DA">
                  <w:pPr>
                    <w:spacing w:line="240" w:lineRule="auto"/>
                    <w:ind w:firstLine="0" w:firstLineChars="0"/>
                    <w:jc w:val="center"/>
                    <w:rPr>
                      <w:sz w:val="21"/>
                      <w:szCs w:val="21"/>
                    </w:rPr>
                  </w:pPr>
                  <w:r>
                    <w:rPr>
                      <w:rFonts w:hint="eastAsia"/>
                      <w:sz w:val="21"/>
                      <w:szCs w:val="21"/>
                    </w:rPr>
                    <w:t>电加热干燥机</w:t>
                  </w:r>
                </w:p>
              </w:tc>
              <w:tc>
                <w:tcPr>
                  <w:tcW w:w="2771" w:type="dxa"/>
                  <w:tcBorders>
                    <w:tl2br w:val="nil"/>
                    <w:tr2bl w:val="nil"/>
                  </w:tcBorders>
                  <w:vAlign w:val="center"/>
                </w:tcPr>
                <w:p w14:paraId="12189972">
                  <w:pPr>
                    <w:spacing w:line="240" w:lineRule="auto"/>
                    <w:ind w:firstLine="0" w:firstLineChars="0"/>
                    <w:jc w:val="center"/>
                    <w:rPr>
                      <w:sz w:val="21"/>
                      <w:szCs w:val="21"/>
                    </w:rPr>
                  </w:pPr>
                  <w:r>
                    <w:rPr>
                      <w:rFonts w:hint="eastAsia"/>
                      <w:sz w:val="21"/>
                      <w:szCs w:val="21"/>
                    </w:rPr>
                    <w:t>1台</w:t>
                  </w:r>
                </w:p>
              </w:tc>
              <w:tc>
                <w:tcPr>
                  <w:tcW w:w="1446" w:type="dxa"/>
                  <w:tcBorders>
                    <w:tl2br w:val="nil"/>
                    <w:tr2bl w:val="nil"/>
                  </w:tcBorders>
                  <w:vAlign w:val="center"/>
                </w:tcPr>
                <w:p w14:paraId="2ED0ED2B">
                  <w:pPr>
                    <w:spacing w:line="240" w:lineRule="auto"/>
                    <w:ind w:firstLine="0" w:firstLineChars="0"/>
                    <w:jc w:val="center"/>
                    <w:rPr>
                      <w:sz w:val="21"/>
                      <w:szCs w:val="21"/>
                    </w:rPr>
                  </w:pPr>
                  <w:r>
                    <w:rPr>
                      <w:rFonts w:hint="eastAsia"/>
                      <w:sz w:val="21"/>
                      <w:szCs w:val="21"/>
                    </w:rPr>
                    <w:t>/</w:t>
                  </w:r>
                </w:p>
              </w:tc>
            </w:tr>
            <w:tr w14:paraId="4D2D90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27C62028">
                  <w:pPr>
                    <w:spacing w:line="240" w:lineRule="auto"/>
                    <w:ind w:firstLine="0" w:firstLineChars="0"/>
                    <w:jc w:val="center"/>
                    <w:rPr>
                      <w:sz w:val="21"/>
                      <w:szCs w:val="21"/>
                    </w:rPr>
                  </w:pPr>
                  <w:r>
                    <w:rPr>
                      <w:rFonts w:hint="eastAsia"/>
                      <w:sz w:val="21"/>
                      <w:szCs w:val="21"/>
                    </w:rPr>
                    <w:t>12</w:t>
                  </w:r>
                </w:p>
              </w:tc>
              <w:tc>
                <w:tcPr>
                  <w:tcW w:w="3120" w:type="dxa"/>
                  <w:tcBorders>
                    <w:tl2br w:val="nil"/>
                    <w:tr2bl w:val="nil"/>
                  </w:tcBorders>
                  <w:vAlign w:val="center"/>
                </w:tcPr>
                <w:p w14:paraId="04914FD6">
                  <w:pPr>
                    <w:spacing w:line="240" w:lineRule="auto"/>
                    <w:ind w:firstLine="0" w:firstLineChars="0"/>
                    <w:jc w:val="center"/>
                    <w:rPr>
                      <w:sz w:val="21"/>
                      <w:szCs w:val="21"/>
                    </w:rPr>
                  </w:pPr>
                  <w:r>
                    <w:rPr>
                      <w:rFonts w:hint="eastAsia"/>
                      <w:sz w:val="21"/>
                      <w:szCs w:val="21"/>
                    </w:rPr>
                    <w:t>螺旋输送机</w:t>
                  </w:r>
                </w:p>
              </w:tc>
              <w:tc>
                <w:tcPr>
                  <w:tcW w:w="2771" w:type="dxa"/>
                  <w:tcBorders>
                    <w:tl2br w:val="nil"/>
                    <w:tr2bl w:val="nil"/>
                  </w:tcBorders>
                  <w:vAlign w:val="center"/>
                </w:tcPr>
                <w:p w14:paraId="2858F50F">
                  <w:pPr>
                    <w:spacing w:line="240" w:lineRule="auto"/>
                    <w:ind w:firstLine="0" w:firstLineChars="0"/>
                    <w:jc w:val="center"/>
                    <w:rPr>
                      <w:sz w:val="21"/>
                      <w:szCs w:val="21"/>
                    </w:rPr>
                  </w:pPr>
                  <w:r>
                    <w:rPr>
                      <w:rFonts w:hint="eastAsia"/>
                      <w:sz w:val="21"/>
                      <w:szCs w:val="21"/>
                    </w:rPr>
                    <w:t>2台</w:t>
                  </w:r>
                </w:p>
              </w:tc>
              <w:tc>
                <w:tcPr>
                  <w:tcW w:w="1446" w:type="dxa"/>
                  <w:tcBorders>
                    <w:tl2br w:val="nil"/>
                    <w:tr2bl w:val="nil"/>
                  </w:tcBorders>
                  <w:vAlign w:val="center"/>
                </w:tcPr>
                <w:p w14:paraId="3B2DCE57">
                  <w:pPr>
                    <w:spacing w:line="240" w:lineRule="auto"/>
                    <w:ind w:firstLine="0" w:firstLineChars="0"/>
                    <w:jc w:val="center"/>
                    <w:rPr>
                      <w:sz w:val="21"/>
                      <w:szCs w:val="21"/>
                    </w:rPr>
                  </w:pPr>
                </w:p>
              </w:tc>
            </w:tr>
            <w:tr w14:paraId="0E0F14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38C2FED8">
                  <w:pPr>
                    <w:spacing w:line="240" w:lineRule="auto"/>
                    <w:ind w:firstLine="0" w:firstLineChars="0"/>
                    <w:jc w:val="center"/>
                    <w:rPr>
                      <w:sz w:val="21"/>
                      <w:szCs w:val="21"/>
                    </w:rPr>
                  </w:pPr>
                  <w:r>
                    <w:rPr>
                      <w:rFonts w:hint="eastAsia"/>
                      <w:sz w:val="21"/>
                      <w:szCs w:val="21"/>
                    </w:rPr>
                    <w:t>13</w:t>
                  </w:r>
                </w:p>
              </w:tc>
              <w:tc>
                <w:tcPr>
                  <w:tcW w:w="3120" w:type="dxa"/>
                  <w:tcBorders>
                    <w:tl2br w:val="nil"/>
                    <w:tr2bl w:val="nil"/>
                  </w:tcBorders>
                  <w:vAlign w:val="center"/>
                </w:tcPr>
                <w:p w14:paraId="3AA48E5E">
                  <w:pPr>
                    <w:spacing w:line="240" w:lineRule="auto"/>
                    <w:ind w:firstLine="0" w:firstLineChars="0"/>
                    <w:jc w:val="center"/>
                    <w:rPr>
                      <w:sz w:val="21"/>
                      <w:szCs w:val="21"/>
                    </w:rPr>
                  </w:pPr>
                  <w:r>
                    <w:rPr>
                      <w:rFonts w:hint="eastAsia"/>
                      <w:sz w:val="21"/>
                      <w:szCs w:val="21"/>
                    </w:rPr>
                    <w:t>集气罩</w:t>
                  </w:r>
                </w:p>
              </w:tc>
              <w:tc>
                <w:tcPr>
                  <w:tcW w:w="2771" w:type="dxa"/>
                  <w:tcBorders>
                    <w:tl2br w:val="nil"/>
                    <w:tr2bl w:val="nil"/>
                  </w:tcBorders>
                  <w:vAlign w:val="center"/>
                </w:tcPr>
                <w:p w14:paraId="5D4E4DAD">
                  <w:pPr>
                    <w:spacing w:line="240" w:lineRule="auto"/>
                    <w:ind w:firstLine="0" w:firstLineChars="0"/>
                    <w:jc w:val="center"/>
                    <w:rPr>
                      <w:sz w:val="21"/>
                      <w:szCs w:val="21"/>
                    </w:rPr>
                  </w:pPr>
                  <w:r>
                    <w:rPr>
                      <w:rFonts w:hint="eastAsia"/>
                      <w:sz w:val="21"/>
                      <w:szCs w:val="21"/>
                    </w:rPr>
                    <w:t>2个</w:t>
                  </w:r>
                </w:p>
              </w:tc>
              <w:tc>
                <w:tcPr>
                  <w:tcW w:w="1446" w:type="dxa"/>
                  <w:tcBorders>
                    <w:tl2br w:val="nil"/>
                    <w:tr2bl w:val="nil"/>
                  </w:tcBorders>
                  <w:vAlign w:val="center"/>
                </w:tcPr>
                <w:p w14:paraId="6C84E41F">
                  <w:pPr>
                    <w:spacing w:line="240" w:lineRule="auto"/>
                    <w:ind w:firstLine="0" w:firstLineChars="0"/>
                    <w:jc w:val="center"/>
                    <w:rPr>
                      <w:sz w:val="21"/>
                      <w:szCs w:val="21"/>
                    </w:rPr>
                  </w:pPr>
                </w:p>
              </w:tc>
            </w:tr>
          </w:tbl>
          <w:p w14:paraId="75B325A7">
            <w:pPr>
              <w:keepNext/>
              <w:keepLines/>
              <w:ind w:firstLine="0" w:firstLineChars="0"/>
              <w:jc w:val="left"/>
              <w:outlineLvl w:val="1"/>
              <w:rPr>
                <w:b/>
                <w:bCs/>
                <w:sz w:val="30"/>
                <w:szCs w:val="32"/>
              </w:rPr>
            </w:pPr>
            <w:r>
              <w:rPr>
                <w:rFonts w:hint="eastAsia"/>
                <w:b/>
                <w:bCs/>
                <w:sz w:val="30"/>
                <w:szCs w:val="32"/>
              </w:rPr>
              <w:t>2.4 公用工程</w:t>
            </w:r>
          </w:p>
          <w:p w14:paraId="3D97E266">
            <w:pPr>
              <w:ind w:firstLine="480"/>
            </w:pPr>
            <w:r>
              <w:rPr>
                <w:rFonts w:hint="eastAsia"/>
              </w:rPr>
              <w:t>（1）给水</w:t>
            </w:r>
          </w:p>
          <w:p w14:paraId="0C96183E">
            <w:pPr>
              <w:ind w:firstLine="480"/>
            </w:pPr>
            <w:r>
              <w:rPr>
                <w:rFonts w:hint="eastAsia"/>
              </w:rPr>
              <w:t>项目用水主要为工人的生活用水。劳动定员为7人，均不住厂。根据《建筑给水排水设计规范》（GB50015-2019）车间工人的生活用水定额应根据车间性质确定：</w:t>
            </w:r>
            <w:r>
              <w:t>非食宿人员用水量为50L/</w:t>
            </w:r>
            <w:r>
              <w:rPr>
                <w:rFonts w:hint="eastAsia"/>
              </w:rPr>
              <w:t>（</w:t>
            </w:r>
            <w:r>
              <w:t>人·d</w:t>
            </w:r>
            <w:r>
              <w:rPr>
                <w:rFonts w:hint="eastAsia"/>
              </w:rPr>
              <w:t>）</w:t>
            </w:r>
            <w:r>
              <w:t>，住宿人员用水量为100L/</w:t>
            </w:r>
            <w:r>
              <w:rPr>
                <w:rFonts w:hint="eastAsia"/>
              </w:rPr>
              <w:t>（</w:t>
            </w:r>
            <w:r>
              <w:t>人·d</w:t>
            </w:r>
            <w:r>
              <w:rPr>
                <w:rFonts w:hint="eastAsia"/>
              </w:rPr>
              <w:t>），年工作日按全年营业300天计，则本项目职工生活用水量约为0.35t/d（105t/a）。</w:t>
            </w:r>
          </w:p>
          <w:p w14:paraId="35847E83">
            <w:pPr>
              <w:ind w:firstLine="480"/>
            </w:pPr>
            <w:r>
              <w:rPr>
                <w:rFonts w:hint="eastAsia"/>
              </w:rPr>
              <w:t>（2）排水</w:t>
            </w:r>
          </w:p>
          <w:p w14:paraId="0C467A05">
            <w:pPr>
              <w:ind w:firstLine="480"/>
            </w:pPr>
            <w:r>
              <w:rPr>
                <w:rFonts w:hint="eastAsia"/>
              </w:rPr>
              <w:t>根据《室外排水设计规范》（GB 50014-2021），居民生活污水定额可按用水定额的90%计算（其余10%蒸发损耗等），则生活污水量为0.315t/d（94.5t/a）。</w:t>
            </w:r>
          </w:p>
          <w:p w14:paraId="61578C2D">
            <w:pPr>
              <w:ind w:firstLine="480"/>
            </w:pPr>
            <w:r>
              <w:rPr>
                <w:rFonts w:hint="eastAsia"/>
              </w:rPr>
              <w:t>（3）供电</w:t>
            </w:r>
          </w:p>
          <w:p w14:paraId="61D27583">
            <w:pPr>
              <w:ind w:firstLine="480"/>
              <w:rPr>
                <w:color w:val="FF0000"/>
              </w:rPr>
            </w:pPr>
            <w:r>
              <w:rPr>
                <w:rFonts w:hint="eastAsia"/>
              </w:rPr>
              <w:t>项目厂区用电由市政供电网提供，用电总量约9万kWh/a。</w:t>
            </w:r>
          </w:p>
          <w:p w14:paraId="1CA49787">
            <w:pPr>
              <w:ind w:firstLine="480"/>
              <w:rPr>
                <w:color w:val="FF0000"/>
              </w:rPr>
            </w:pPr>
          </w:p>
          <w:bookmarkEnd w:id="10"/>
          <w:bookmarkEnd w:id="11"/>
          <w:bookmarkEnd w:id="12"/>
          <w:bookmarkEnd w:id="13"/>
          <w:bookmarkEnd w:id="14"/>
          <w:p w14:paraId="5FD2BC74">
            <w:pPr>
              <w:keepNext/>
              <w:keepLines/>
              <w:ind w:firstLine="0" w:firstLineChars="0"/>
              <w:jc w:val="left"/>
              <w:outlineLvl w:val="2"/>
              <w:rPr>
                <w:b/>
                <w:bCs/>
                <w:sz w:val="28"/>
                <w:szCs w:val="32"/>
              </w:rPr>
            </w:pPr>
            <w:r>
              <w:rPr>
                <w:b/>
                <w:bCs/>
                <w:sz w:val="28"/>
                <w:szCs w:val="32"/>
              </w:rPr>
              <w:t>2.</w:t>
            </w:r>
            <w:r>
              <w:rPr>
                <w:rFonts w:hint="eastAsia"/>
                <w:b/>
                <w:bCs/>
                <w:sz w:val="28"/>
                <w:szCs w:val="32"/>
              </w:rPr>
              <w:t>5</w:t>
            </w:r>
            <w:r>
              <w:rPr>
                <w:b/>
                <w:bCs/>
                <w:sz w:val="28"/>
                <w:szCs w:val="32"/>
              </w:rPr>
              <w:t xml:space="preserve"> </w:t>
            </w:r>
            <w:r>
              <w:rPr>
                <w:rFonts w:hint="eastAsia"/>
                <w:b/>
                <w:bCs/>
                <w:sz w:val="28"/>
                <w:szCs w:val="32"/>
              </w:rPr>
              <w:t>厂区平面布置</w:t>
            </w:r>
          </w:p>
          <w:p w14:paraId="4A66716D">
            <w:pPr>
              <w:widowControl/>
              <w:ind w:firstLine="480"/>
              <w:jc w:val="left"/>
              <w:rPr>
                <w:rFonts w:ascii="宋体" w:hAnsi="宋体" w:cs="宋体"/>
                <w:color w:val="000000"/>
                <w:kern w:val="0"/>
                <w:lang w:bidi="ar"/>
              </w:rPr>
            </w:pPr>
            <w:r>
              <w:t>项目</w:t>
            </w:r>
            <w:r>
              <w:rPr>
                <w:rFonts w:hint="eastAsia"/>
              </w:rPr>
              <w:t>位于福建省福州市闽侯县甘蔗街道陈店湖路18号。南侧为生产区域</w:t>
            </w:r>
            <w:r>
              <w:rPr>
                <w:rFonts w:hint="eastAsia" w:ascii="宋体" w:hAnsi="宋体" w:cs="宋体"/>
                <w:color w:val="000000"/>
                <w:kern w:val="0"/>
                <w:lang w:bidi="ar"/>
              </w:rPr>
              <w:t>，于</w:t>
            </w:r>
            <w:r>
              <w:rPr>
                <w:rFonts w:hint="eastAsia"/>
              </w:rPr>
              <w:t>成品仓及搅拌机处建设排气筒与废气治理设施；西南侧为成品区，西北侧为原料仓库，一般固废暂存间位于北侧。</w:t>
            </w:r>
            <w:r>
              <w:rPr>
                <w:rFonts w:hint="eastAsia" w:ascii="宋体" w:hAnsi="宋体" w:cs="宋体"/>
                <w:color w:val="000000"/>
                <w:kern w:val="0"/>
                <w:lang w:bidi="ar"/>
              </w:rPr>
              <w:t>车间内各设备布置按照工艺流程顺序布置，物料流程短，有利于生产操作和管理，以及有效提高生产效率。</w:t>
            </w:r>
          </w:p>
          <w:p w14:paraId="3DB44B9C">
            <w:pPr>
              <w:widowControl/>
              <w:ind w:firstLine="480"/>
              <w:jc w:val="left"/>
            </w:pPr>
            <w:r>
              <w:rPr>
                <w:rFonts w:hint="eastAsia" w:ascii="宋体" w:hAnsi="宋体" w:cs="宋体"/>
                <w:color w:val="000000"/>
                <w:kern w:val="0"/>
                <w:lang w:bidi="ar"/>
              </w:rPr>
              <w:t>厂房所在地块属于工业用地，周边主要以工厂企业为主，东北侧</w:t>
            </w:r>
            <w:r>
              <w:rPr>
                <w:color w:val="000000"/>
                <w:kern w:val="0"/>
                <w:lang w:bidi="ar"/>
              </w:rPr>
              <w:t>70m为</w:t>
            </w:r>
            <w:r>
              <w:rPr>
                <w:rFonts w:hint="eastAsia" w:ascii="宋体" w:hAnsi="宋体" w:cs="宋体"/>
                <w:color w:val="000000"/>
                <w:kern w:val="0"/>
                <w:lang w:bidi="ar"/>
              </w:rPr>
              <w:t>十字村。由于本地区常年主导风向为东南风，十字村位于主导风向的侧风向，且项目所产生的污染物经采取有效的环保措施后，污染物浓度较小，因此本项目平面布置从环保角度分析是基本合理的，项目总平面布置图见附图</w:t>
            </w:r>
            <w:r>
              <w:rPr>
                <w:color w:val="000000"/>
                <w:kern w:val="0"/>
                <w:lang w:bidi="ar"/>
              </w:rPr>
              <w:t>3</w:t>
            </w:r>
            <w:r>
              <w:rPr>
                <w:rFonts w:hint="eastAsia" w:ascii="宋体" w:hAnsi="宋体" w:cs="宋体"/>
                <w:color w:val="000000"/>
                <w:kern w:val="0"/>
                <w:lang w:bidi="ar"/>
              </w:rPr>
              <w:t>。</w:t>
            </w:r>
          </w:p>
        </w:tc>
      </w:tr>
      <w:tr w14:paraId="4D541F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98" w:hRule="atLeast"/>
          <w:jc w:val="center"/>
        </w:trPr>
        <w:tc>
          <w:tcPr>
            <w:tcW w:w="434" w:type="pct"/>
            <w:vAlign w:val="center"/>
          </w:tcPr>
          <w:p w14:paraId="7DD2C838">
            <w:pPr>
              <w:adjustRightInd w:val="0"/>
              <w:snapToGrid w:val="0"/>
              <w:spacing w:line="240" w:lineRule="auto"/>
              <w:ind w:firstLine="0" w:firstLineChars="0"/>
              <w:jc w:val="center"/>
            </w:pPr>
            <w:r>
              <w:t>工艺流程和产排污环节</w:t>
            </w:r>
          </w:p>
        </w:tc>
        <w:tc>
          <w:tcPr>
            <w:tcW w:w="4565" w:type="pct"/>
          </w:tcPr>
          <w:p w14:paraId="3005C566">
            <w:pPr>
              <w:keepNext/>
              <w:keepLines/>
              <w:ind w:firstLine="0" w:firstLineChars="0"/>
              <w:jc w:val="left"/>
              <w:outlineLvl w:val="1"/>
              <w:rPr>
                <w:b/>
                <w:bCs/>
                <w:sz w:val="30"/>
                <w:szCs w:val="32"/>
              </w:rPr>
            </w:pPr>
            <w:r>
              <w:rPr>
                <w:b/>
                <w:bCs/>
                <w:sz w:val="30"/>
                <w:szCs w:val="32"/>
              </w:rPr>
              <w:t>2.</w:t>
            </w:r>
            <w:r>
              <w:rPr>
                <w:rFonts w:hint="eastAsia"/>
                <w:b/>
                <w:bCs/>
                <w:sz w:val="30"/>
                <w:szCs w:val="32"/>
              </w:rPr>
              <w:t>6</w:t>
            </w:r>
            <w:r>
              <w:rPr>
                <w:b/>
                <w:bCs/>
                <w:sz w:val="30"/>
                <w:szCs w:val="32"/>
              </w:rPr>
              <w:t>生产工艺流程及产污环节</w:t>
            </w:r>
          </w:p>
          <w:p w14:paraId="49D7ECA1">
            <w:pPr>
              <w:keepNext/>
              <w:keepLines/>
              <w:ind w:firstLine="0" w:firstLineChars="0"/>
              <w:jc w:val="left"/>
              <w:outlineLvl w:val="2"/>
              <w:rPr>
                <w:b/>
                <w:bCs/>
                <w:sz w:val="28"/>
                <w:szCs w:val="32"/>
              </w:rPr>
            </w:pPr>
            <w:r>
              <w:rPr>
                <w:b/>
                <w:bCs/>
                <w:sz w:val="28"/>
                <w:szCs w:val="32"/>
              </w:rPr>
              <w:t>2.</w:t>
            </w:r>
            <w:r>
              <w:rPr>
                <w:rFonts w:hint="eastAsia"/>
                <w:b/>
                <w:bCs/>
                <w:sz w:val="28"/>
                <w:szCs w:val="32"/>
              </w:rPr>
              <w:t>6</w:t>
            </w:r>
            <w:r>
              <w:rPr>
                <w:b/>
                <w:bCs/>
                <w:sz w:val="28"/>
                <w:szCs w:val="32"/>
              </w:rPr>
              <w:t>.1工艺流程及工艺介绍</w:t>
            </w:r>
          </w:p>
          <w:p w14:paraId="13642770">
            <w:pPr>
              <w:ind w:firstLine="480"/>
            </w:pPr>
            <w:r>
              <w:t>拟建项目主要工艺流程及产污环节见图</w:t>
            </w:r>
            <w:r>
              <w:rPr>
                <w:rFonts w:hint="eastAsia"/>
              </w:rPr>
              <w:t>2.7-1</w:t>
            </w:r>
            <w:r>
              <w:t>。</w:t>
            </w:r>
          </w:p>
          <w:p w14:paraId="3A744E95">
            <w:pPr>
              <w:ind w:firstLine="0" w:firstLineChars="0"/>
              <w:jc w:val="center"/>
              <w:rPr>
                <w:b/>
                <w:bCs/>
              </w:rPr>
            </w:pPr>
            <w:r>
              <w:rPr>
                <w:rFonts w:hint="default" w:ascii="Times New Roman" w:hAnsi="Times New Roman" w:eastAsia="宋体" w:cs="Times New Roman"/>
                <w:b/>
                <w:bCs/>
                <w:color w:val="auto"/>
                <w:sz w:val="24"/>
                <w:lang w:val="en-US" w:eastAsia="zh-CN"/>
              </w:rPr>
              <w:t>删除所有涉及隐私部分内容</w:t>
            </w:r>
          </w:p>
          <w:p w14:paraId="05243020">
            <w:pPr>
              <w:ind w:firstLine="0" w:firstLineChars="0"/>
              <w:jc w:val="center"/>
              <w:rPr>
                <w:b/>
                <w:bCs/>
                <w:color w:val="0000FF"/>
              </w:rPr>
            </w:pPr>
            <w:r>
              <w:rPr>
                <w:rFonts w:hint="eastAsia"/>
                <w:b/>
                <w:bCs/>
              </w:rPr>
              <w:t>图2.6-1</w:t>
            </w:r>
            <w:r>
              <w:rPr>
                <w:b/>
                <w:bCs/>
              </w:rPr>
              <w:t xml:space="preserve"> </w:t>
            </w:r>
            <w:r>
              <w:rPr>
                <w:rFonts w:hint="eastAsia"/>
                <w:b/>
                <w:bCs/>
              </w:rPr>
              <w:t xml:space="preserve"> 项目生产工艺流程图（G：废气；N：噪声；S：固体废物）</w:t>
            </w:r>
          </w:p>
          <w:p w14:paraId="4B504834">
            <w:pPr>
              <w:ind w:firstLine="482"/>
              <w:rPr>
                <w:b/>
                <w:bCs/>
              </w:rPr>
            </w:pPr>
            <w:r>
              <w:rPr>
                <w:b/>
                <w:bCs/>
              </w:rPr>
              <w:t>主要工艺说明</w:t>
            </w:r>
            <w:r>
              <w:rPr>
                <w:rFonts w:hint="eastAsia"/>
                <w:b/>
                <w:bCs/>
              </w:rPr>
              <w:t>：</w:t>
            </w:r>
          </w:p>
          <w:p w14:paraId="1C68133F">
            <w:pPr>
              <w:ind w:firstLine="480"/>
              <w:rPr>
                <w:rFonts w:hint="eastAsia" w:ascii="宋体" w:hAnsi="宋体" w:eastAsia="宋体" w:cs="宋体"/>
                <w:sz w:val="24"/>
                <w:szCs w:val="24"/>
                <w:lang w:eastAsia="zh-CN"/>
              </w:rPr>
            </w:pPr>
            <w:r>
              <w:rPr>
                <w:rFonts w:hint="eastAsia"/>
              </w:rPr>
              <w:t>（1）</w:t>
            </w:r>
            <w:r>
              <w:rPr>
                <w:rFonts w:hint="eastAsia" w:eastAsia="宋体"/>
                <w:lang w:eastAsia="zh-CN"/>
              </w:rPr>
              <w:t>袋装</w:t>
            </w:r>
            <w:r>
              <w:rPr>
                <w:rFonts w:ascii="宋体" w:hAnsi="宋体" w:eastAsia="宋体" w:cs="宋体"/>
                <w:sz w:val="24"/>
                <w:szCs w:val="24"/>
              </w:rPr>
              <w:t>原</w:t>
            </w:r>
            <w:r>
              <w:rPr>
                <w:rFonts w:ascii="宋体" w:hAnsi="宋体" w:eastAsia="宋体" w:cs="宋体"/>
                <w:b w:val="0"/>
                <w:bCs w:val="0"/>
                <w:sz w:val="24"/>
                <w:szCs w:val="24"/>
              </w:rPr>
              <w:t>料到厂后，由</w:t>
            </w:r>
            <w:r>
              <w:rPr>
                <w:rStyle w:val="33"/>
                <w:rFonts w:ascii="宋体" w:hAnsi="宋体" w:eastAsia="宋体" w:cs="宋体"/>
                <w:b w:val="0"/>
                <w:bCs w:val="0"/>
                <w:sz w:val="24"/>
                <w:szCs w:val="24"/>
              </w:rPr>
              <w:t>叉车</w:t>
            </w:r>
            <w:r>
              <w:rPr>
                <w:rFonts w:ascii="宋体" w:hAnsi="宋体" w:eastAsia="宋体" w:cs="宋体"/>
                <w:b w:val="0"/>
                <w:bCs w:val="0"/>
                <w:sz w:val="24"/>
                <w:szCs w:val="24"/>
              </w:rPr>
              <w:t>从货车上卸货至仓库</w:t>
            </w:r>
            <w:r>
              <w:rPr>
                <w:rFonts w:hint="eastAsia" w:ascii="宋体" w:hAnsi="宋体" w:eastAsia="宋体" w:cs="宋体"/>
                <w:b w:val="0"/>
                <w:bCs w:val="0"/>
                <w:sz w:val="24"/>
                <w:szCs w:val="24"/>
                <w:lang w:eastAsia="zh-CN"/>
              </w:rPr>
              <w:t>堆</w:t>
            </w:r>
            <w:r>
              <w:rPr>
                <w:rFonts w:ascii="宋体" w:hAnsi="宋体" w:eastAsia="宋体" w:cs="宋体"/>
                <w:b w:val="0"/>
                <w:bCs w:val="0"/>
                <w:sz w:val="24"/>
                <w:szCs w:val="24"/>
              </w:rPr>
              <w:t>放区；投料时，叉车将袋装原料运输至</w:t>
            </w:r>
            <w:r>
              <w:rPr>
                <w:rStyle w:val="33"/>
                <w:rFonts w:ascii="宋体" w:hAnsi="宋体" w:eastAsia="宋体" w:cs="宋体"/>
                <w:b w:val="0"/>
                <w:bCs w:val="0"/>
                <w:sz w:val="24"/>
                <w:szCs w:val="24"/>
              </w:rPr>
              <w:t>储存罐顶部投料口</w:t>
            </w:r>
            <w:r>
              <w:rPr>
                <w:rStyle w:val="33"/>
                <w:rFonts w:hint="eastAsia" w:ascii="宋体" w:hAnsi="宋体" w:eastAsia="宋体" w:cs="宋体"/>
                <w:b w:val="0"/>
                <w:bCs w:val="0"/>
                <w:sz w:val="24"/>
                <w:szCs w:val="24"/>
                <w:lang w:eastAsia="zh-CN"/>
              </w:rPr>
              <w:t>，</w:t>
            </w:r>
            <w:r>
              <w:rPr>
                <w:rFonts w:ascii="宋体" w:hAnsi="宋体" w:eastAsia="宋体" w:cs="宋体"/>
                <w:b w:val="0"/>
                <w:bCs w:val="0"/>
                <w:sz w:val="24"/>
                <w:szCs w:val="24"/>
              </w:rPr>
              <w:t>投料口设</w:t>
            </w:r>
            <w:r>
              <w:rPr>
                <w:rStyle w:val="33"/>
                <w:rFonts w:ascii="宋体" w:hAnsi="宋体" w:eastAsia="宋体" w:cs="宋体"/>
                <w:b w:val="0"/>
                <w:bCs w:val="0"/>
                <w:sz w:val="24"/>
                <w:szCs w:val="24"/>
              </w:rPr>
              <w:t>半密闭</w:t>
            </w:r>
            <w:r>
              <w:rPr>
                <w:rStyle w:val="33"/>
                <w:rFonts w:hint="eastAsia" w:ascii="宋体" w:hAnsi="宋体" w:cs="宋体"/>
                <w:b w:val="0"/>
                <w:bCs w:val="0"/>
                <w:sz w:val="24"/>
                <w:szCs w:val="24"/>
                <w:lang w:eastAsia="zh-CN"/>
              </w:rPr>
              <w:t>围挡</w:t>
            </w:r>
            <w:r>
              <w:rPr>
                <w:rFonts w:ascii="宋体" w:hAnsi="宋体" w:eastAsia="宋体" w:cs="宋体"/>
                <w:b w:val="0"/>
                <w:bCs w:val="0"/>
                <w:sz w:val="24"/>
                <w:szCs w:val="24"/>
              </w:rPr>
              <w:t>（上部为软帘密闭，下部连接储存罐进料口），人工拆包后将物料倒入投料斗。拆包过程中，投料斗上方配套</w:t>
            </w:r>
            <w:r>
              <w:rPr>
                <w:rStyle w:val="33"/>
                <w:rFonts w:ascii="宋体" w:hAnsi="宋体" w:eastAsia="宋体" w:cs="宋体"/>
                <w:b w:val="0"/>
                <w:bCs w:val="0"/>
                <w:sz w:val="24"/>
                <w:szCs w:val="24"/>
              </w:rPr>
              <w:t>集尘罩</w:t>
            </w:r>
            <w:r>
              <w:rPr>
                <w:rFonts w:ascii="宋体" w:hAnsi="宋体" w:eastAsia="宋体" w:cs="宋体"/>
                <w:b w:val="0"/>
                <w:bCs w:val="0"/>
                <w:sz w:val="24"/>
                <w:szCs w:val="24"/>
              </w:rPr>
              <w:t>，通过钢管连接至</w:t>
            </w:r>
            <w:r>
              <w:rPr>
                <w:rStyle w:val="33"/>
                <w:rFonts w:ascii="宋体" w:hAnsi="宋体" w:eastAsia="宋体" w:cs="宋体"/>
                <w:b w:val="0"/>
                <w:bCs w:val="0"/>
                <w:sz w:val="24"/>
                <w:szCs w:val="24"/>
              </w:rPr>
              <w:t>布袋除尘器</w:t>
            </w:r>
            <w:r>
              <w:rPr>
                <w:rFonts w:ascii="宋体" w:hAnsi="宋体" w:eastAsia="宋体" w:cs="宋体"/>
                <w:sz w:val="24"/>
                <w:szCs w:val="24"/>
              </w:rPr>
              <w:t>，收集的粉尘返回储存罐再利用</w:t>
            </w:r>
            <w:r>
              <w:rPr>
                <w:rFonts w:hint="eastAsia" w:ascii="宋体" w:hAnsi="宋体" w:eastAsia="宋体" w:cs="宋体"/>
                <w:sz w:val="24"/>
                <w:szCs w:val="24"/>
                <w:lang w:eastAsia="zh-CN"/>
              </w:rPr>
              <w:t>。</w:t>
            </w:r>
          </w:p>
          <w:p w14:paraId="49FDD1F9">
            <w:pPr>
              <w:ind w:firstLine="480"/>
              <w:rPr>
                <w:highlight w:val="none"/>
              </w:rPr>
            </w:pPr>
            <w:r>
              <w:rPr>
                <w:rFonts w:hint="eastAsia" w:ascii="宋体" w:hAnsi="宋体" w:eastAsia="宋体" w:cs="宋体"/>
                <w:sz w:val="24"/>
                <w:szCs w:val="24"/>
                <w:lang w:eastAsia="zh-CN"/>
              </w:rPr>
              <w:t>黑水泥</w:t>
            </w:r>
            <w:r>
              <w:rPr>
                <w:rFonts w:ascii="宋体" w:hAnsi="宋体" w:eastAsia="宋体" w:cs="宋体"/>
                <w:sz w:val="24"/>
                <w:szCs w:val="24"/>
              </w:rPr>
              <w:t>罐车停稳后，通过</w:t>
            </w:r>
            <w:r>
              <w:rPr>
                <w:rStyle w:val="33"/>
                <w:rFonts w:ascii="宋体" w:hAnsi="宋体" w:eastAsia="宋体" w:cs="宋体"/>
                <w:b w:val="0"/>
                <w:bCs/>
                <w:sz w:val="24"/>
                <w:szCs w:val="24"/>
              </w:rPr>
              <w:t>快速接头</w:t>
            </w:r>
            <w:r>
              <w:rPr>
                <w:rFonts w:ascii="宋体" w:hAnsi="宋体" w:eastAsia="宋体" w:cs="宋体"/>
                <w:bCs/>
                <w:sz w:val="24"/>
                <w:szCs w:val="24"/>
              </w:rPr>
              <w:t>将罐车出料口</w:t>
            </w:r>
            <w:r>
              <w:rPr>
                <w:rFonts w:ascii="宋体" w:hAnsi="宋体" w:eastAsia="宋体" w:cs="宋体"/>
                <w:sz w:val="24"/>
                <w:szCs w:val="24"/>
              </w:rPr>
              <w:t>与储存罐进料管道密闭连接；利用</w:t>
            </w:r>
            <w:r>
              <w:rPr>
                <w:rStyle w:val="33"/>
                <w:rFonts w:ascii="宋体" w:hAnsi="宋体" w:eastAsia="宋体" w:cs="宋体"/>
                <w:b w:val="0"/>
                <w:bCs/>
                <w:sz w:val="24"/>
                <w:szCs w:val="24"/>
              </w:rPr>
              <w:t>空压机</w:t>
            </w:r>
            <w:r>
              <w:rPr>
                <w:rFonts w:ascii="宋体" w:hAnsi="宋体" w:eastAsia="宋体" w:cs="宋体"/>
                <w:bCs/>
                <w:sz w:val="24"/>
                <w:szCs w:val="24"/>
              </w:rPr>
              <w:t>（</w:t>
            </w:r>
            <w:r>
              <w:rPr>
                <w:rFonts w:ascii="宋体" w:hAnsi="宋体" w:eastAsia="宋体" w:cs="宋体"/>
                <w:sz w:val="24"/>
                <w:szCs w:val="24"/>
              </w:rPr>
              <w:t>详见“干燥过程”）产生的压缩空气作为动</w:t>
            </w:r>
            <w:r>
              <w:rPr>
                <w:rFonts w:ascii="宋体" w:hAnsi="宋体" w:eastAsia="宋体" w:cs="宋体"/>
                <w:b w:val="0"/>
                <w:bCs w:val="0"/>
                <w:sz w:val="24"/>
                <w:szCs w:val="24"/>
              </w:rPr>
              <w:t>力，通过</w:t>
            </w:r>
            <w:r>
              <w:rPr>
                <w:rStyle w:val="33"/>
                <w:rFonts w:ascii="宋体" w:hAnsi="宋体" w:eastAsia="宋体" w:cs="宋体"/>
                <w:b w:val="0"/>
                <w:bCs w:val="0"/>
                <w:sz w:val="24"/>
                <w:szCs w:val="24"/>
              </w:rPr>
              <w:t>气力输送系统</w:t>
            </w:r>
            <w:r>
              <w:rPr>
                <w:rFonts w:ascii="宋体" w:hAnsi="宋体" w:eastAsia="宋体" w:cs="宋体"/>
                <w:b w:val="0"/>
                <w:bCs w:val="0"/>
                <w:sz w:val="24"/>
                <w:szCs w:val="24"/>
              </w:rPr>
              <w:t>（管道全程密闭，无泄漏）将罐车</w:t>
            </w:r>
            <w:r>
              <w:rPr>
                <w:rFonts w:ascii="宋体" w:hAnsi="宋体" w:eastAsia="宋体" w:cs="宋体"/>
                <w:b w:val="0"/>
                <w:bCs w:val="0"/>
                <w:sz w:val="24"/>
                <w:szCs w:val="24"/>
                <w:highlight w:val="none"/>
              </w:rPr>
              <w:t>内水泥正压输送至储存</w:t>
            </w:r>
            <w:r>
              <w:rPr>
                <w:rFonts w:ascii="宋体" w:hAnsi="宋体" w:eastAsia="宋体" w:cs="宋体"/>
                <w:sz w:val="24"/>
                <w:szCs w:val="24"/>
                <w:highlight w:val="none"/>
              </w:rPr>
              <w:t>罐</w:t>
            </w:r>
            <w:r>
              <w:rPr>
                <w:rFonts w:hint="eastAsia" w:ascii="宋体" w:hAnsi="宋体" w:eastAsia="宋体" w:cs="宋体"/>
                <w:sz w:val="24"/>
                <w:szCs w:val="24"/>
                <w:highlight w:val="none"/>
                <w:lang w:eastAsia="zh-CN"/>
              </w:rPr>
              <w:t>。</w:t>
            </w:r>
            <w:r>
              <w:rPr>
                <w:rFonts w:hint="eastAsia"/>
                <w:highlight w:val="none"/>
              </w:rPr>
              <w:t>此工序会产生投料粉尘G1、废包装袋S、车辆运行噪声和装料噪声以及储罐呼吸粉尘G2。</w:t>
            </w:r>
          </w:p>
          <w:p w14:paraId="271058F6">
            <w:pPr>
              <w:ind w:firstLine="480"/>
              <w:rPr>
                <w:b w:val="0"/>
                <w:bCs w:val="0"/>
                <w:highlight w:val="none"/>
              </w:rPr>
            </w:pPr>
            <w:r>
              <w:rPr>
                <w:rFonts w:hint="eastAsia"/>
                <w:highlight w:val="none"/>
              </w:rPr>
              <w:t>（2）</w:t>
            </w:r>
            <w:r>
              <w:rPr>
                <w:highlight w:val="none"/>
              </w:rPr>
              <w:t>原辅材料</w:t>
            </w:r>
            <w:r>
              <w:rPr>
                <w:rFonts w:hint="eastAsia"/>
                <w:highlight w:val="none"/>
                <w:lang w:eastAsia="zh-CN"/>
              </w:rPr>
              <w:t>通过密闭</w:t>
            </w:r>
            <w:r>
              <w:rPr>
                <w:rFonts w:hint="eastAsia"/>
                <w:highlight w:val="none"/>
              </w:rPr>
              <w:t>螺旋输送机</w:t>
            </w:r>
            <w:r>
              <w:rPr>
                <w:rFonts w:hint="eastAsia"/>
                <w:highlight w:val="none"/>
                <w:lang w:eastAsia="zh-CN"/>
              </w:rPr>
              <w:t>在空压机</w:t>
            </w:r>
            <w:r>
              <w:rPr>
                <w:rFonts w:hint="eastAsia"/>
                <w:highlight w:val="none"/>
              </w:rPr>
              <w:t>作用下</w:t>
            </w:r>
            <w:r>
              <w:rPr>
                <w:highlight w:val="none"/>
              </w:rPr>
              <w:t>按照比例进入</w:t>
            </w:r>
            <w:r>
              <w:rPr>
                <w:rFonts w:hint="eastAsia"/>
                <w:highlight w:val="none"/>
              </w:rPr>
              <w:t>搅拌机</w:t>
            </w:r>
            <w:r>
              <w:rPr>
                <w:highlight w:val="none"/>
              </w:rPr>
              <w:t>，</w:t>
            </w:r>
            <w:r>
              <w:rPr>
                <w:rFonts w:hint="eastAsia"/>
                <w:highlight w:val="none"/>
              </w:rPr>
              <w:t>此过程全密闭且搅拌过程仅</w:t>
            </w:r>
            <w:r>
              <w:rPr>
                <w:rFonts w:hint="eastAsia"/>
                <w:b w:val="0"/>
                <w:bCs w:val="0"/>
                <w:highlight w:val="none"/>
              </w:rPr>
              <w:t>为物理混合</w:t>
            </w:r>
            <w:r>
              <w:rPr>
                <w:rFonts w:ascii="宋体" w:hAnsi="宋体" w:eastAsia="宋体" w:cs="宋体"/>
                <w:b w:val="0"/>
                <w:bCs w:val="0"/>
                <w:sz w:val="24"/>
                <w:szCs w:val="24"/>
                <w:highlight w:val="none"/>
              </w:rPr>
              <w:t>，无化学反应。因全密闭（罐体盖设液压锁紧装置），仅进料口微漏可能产生</w:t>
            </w:r>
            <w:r>
              <w:rPr>
                <w:rStyle w:val="33"/>
                <w:rFonts w:ascii="宋体" w:hAnsi="宋体" w:eastAsia="宋体" w:cs="宋体"/>
                <w:b w:val="0"/>
                <w:bCs w:val="0"/>
                <w:sz w:val="24"/>
                <w:szCs w:val="24"/>
                <w:highlight w:val="none"/>
              </w:rPr>
              <w:t>粉尘</w:t>
            </w:r>
            <w:r>
              <w:rPr>
                <w:rFonts w:ascii="宋体" w:hAnsi="宋体" w:eastAsia="宋体" w:cs="宋体"/>
                <w:b w:val="0"/>
                <w:bCs w:val="0"/>
                <w:sz w:val="24"/>
                <w:szCs w:val="24"/>
                <w:highlight w:val="none"/>
              </w:rPr>
              <w:t>，通过定期检查接口密封胶条控制。</w:t>
            </w:r>
            <w:r>
              <w:rPr>
                <w:rFonts w:hint="eastAsia"/>
                <w:b w:val="0"/>
                <w:bCs w:val="0"/>
                <w:highlight w:val="none"/>
              </w:rPr>
              <w:t>此工序</w:t>
            </w:r>
            <w:r>
              <w:rPr>
                <w:b w:val="0"/>
                <w:bCs w:val="0"/>
                <w:highlight w:val="none"/>
              </w:rPr>
              <w:t>会产生</w:t>
            </w:r>
            <w:r>
              <w:rPr>
                <w:rFonts w:hint="eastAsia"/>
                <w:b w:val="0"/>
                <w:bCs w:val="0"/>
                <w:highlight w:val="none"/>
              </w:rPr>
              <w:t>搅拌</w:t>
            </w:r>
            <w:r>
              <w:rPr>
                <w:b w:val="0"/>
                <w:bCs w:val="0"/>
                <w:highlight w:val="none"/>
              </w:rPr>
              <w:t>粉尘</w:t>
            </w:r>
            <w:r>
              <w:rPr>
                <w:rFonts w:hint="eastAsia"/>
                <w:b w:val="0"/>
                <w:bCs w:val="0"/>
                <w:highlight w:val="none"/>
              </w:rPr>
              <w:t>G3以及设备运行噪声</w:t>
            </w:r>
            <w:r>
              <w:rPr>
                <w:b w:val="0"/>
                <w:bCs w:val="0"/>
                <w:highlight w:val="none"/>
              </w:rPr>
              <w:t>。</w:t>
            </w:r>
          </w:p>
          <w:p w14:paraId="17C8D1C3">
            <w:pPr>
              <w:ind w:firstLine="480"/>
              <w:rPr>
                <w:highlight w:val="none"/>
              </w:rPr>
            </w:pPr>
            <w:r>
              <w:rPr>
                <w:rFonts w:hint="eastAsia"/>
                <w:highlight w:val="none"/>
              </w:rPr>
              <w:t>（3）搅拌混合后的干粉砂浆经螺旋输送机全过程密闭输送至成品仓，输送过程无粉尘泄漏，在输送过程中螺旋叶片与物料摩擦</w:t>
            </w:r>
            <w:r>
              <w:rPr>
                <w:highlight w:val="none"/>
              </w:rPr>
              <w:t>会产生噪声。</w:t>
            </w:r>
          </w:p>
          <w:p w14:paraId="5CD8D809">
            <w:pPr>
              <w:ind w:firstLine="480"/>
              <w:rPr>
                <w:highlight w:val="none"/>
              </w:rPr>
            </w:pPr>
            <w:r>
              <w:rPr>
                <w:rFonts w:hint="eastAsia"/>
                <w:highlight w:val="none"/>
              </w:rPr>
              <w:t>（4）成品仓开启</w:t>
            </w:r>
            <w:r>
              <w:rPr>
                <w:highlight w:val="none"/>
              </w:rPr>
              <w:t>，</w:t>
            </w:r>
            <w:r>
              <w:rPr>
                <w:rFonts w:hint="eastAsia"/>
                <w:highlight w:val="none"/>
              </w:rPr>
              <w:t>干粉砂浆成品</w:t>
            </w:r>
            <w:r>
              <w:rPr>
                <w:highlight w:val="none"/>
              </w:rPr>
              <w:t>进入自动包装机，包装后</w:t>
            </w:r>
            <w:r>
              <w:rPr>
                <w:rFonts w:hint="eastAsia"/>
                <w:highlight w:val="none"/>
              </w:rPr>
              <w:t>（50kg/袋）由搬运机搬运至成品仓库或运输车辆</w:t>
            </w:r>
            <w:r>
              <w:rPr>
                <w:highlight w:val="none"/>
              </w:rPr>
              <w:t>，</w:t>
            </w:r>
            <w:r>
              <w:rPr>
                <w:rFonts w:hint="eastAsia"/>
                <w:highlight w:val="none"/>
              </w:rPr>
              <w:t>此过程</w:t>
            </w:r>
            <w:r>
              <w:rPr>
                <w:highlight w:val="none"/>
              </w:rPr>
              <w:t>会产生</w:t>
            </w:r>
            <w:r>
              <w:rPr>
                <w:rFonts w:hint="eastAsia"/>
                <w:highlight w:val="none"/>
              </w:rPr>
              <w:t>出料</w:t>
            </w:r>
            <w:r>
              <w:rPr>
                <w:highlight w:val="none"/>
              </w:rPr>
              <w:t>粉尘</w:t>
            </w:r>
            <w:r>
              <w:rPr>
                <w:rFonts w:hint="eastAsia"/>
                <w:highlight w:val="none"/>
              </w:rPr>
              <w:t>G4、车辆运输粉尘G5、设备</w:t>
            </w:r>
            <w:r>
              <w:rPr>
                <w:highlight w:val="none"/>
              </w:rPr>
              <w:t>噪声</w:t>
            </w:r>
            <w:r>
              <w:rPr>
                <w:rFonts w:hint="eastAsia"/>
                <w:highlight w:val="none"/>
              </w:rPr>
              <w:t>和车辆运输噪声</w:t>
            </w:r>
            <w:r>
              <w:rPr>
                <w:highlight w:val="none"/>
              </w:rPr>
              <w:t>。</w:t>
            </w:r>
          </w:p>
          <w:p w14:paraId="7EBF802C">
            <w:pPr>
              <w:ind w:firstLine="480"/>
              <w:rPr>
                <w:rFonts w:hint="eastAsia"/>
                <w:b/>
                <w:highlight w:val="none"/>
              </w:rPr>
            </w:pPr>
            <w:r>
              <w:rPr>
                <w:rFonts w:hint="eastAsia"/>
                <w:b/>
                <w:highlight w:val="none"/>
              </w:rPr>
              <w:t>空气压缩干燥</w:t>
            </w:r>
            <w:r>
              <w:rPr>
                <w:b/>
                <w:highlight w:val="none"/>
              </w:rPr>
              <w:t>工艺流程简述</w:t>
            </w:r>
            <w:r>
              <w:rPr>
                <w:rFonts w:hint="eastAsia"/>
                <w:b/>
                <w:highlight w:val="none"/>
              </w:rPr>
              <w:t>：</w:t>
            </w:r>
          </w:p>
          <w:p w14:paraId="375F1022">
            <w:pPr>
              <w:ind w:firstLine="480"/>
              <w:rPr>
                <w:rFonts w:hint="eastAsia"/>
                <w:b w:val="0"/>
                <w:bCs w:val="0"/>
              </w:rPr>
            </w:pPr>
            <w:r>
              <w:rPr>
                <w:rFonts w:hint="eastAsia"/>
                <w:b w:val="0"/>
                <w:bCs w:val="0"/>
                <w:lang w:val="en-US" w:eastAsia="zh-CN"/>
              </w:rPr>
              <w:t>（1）空气压缩：环境空气经进风口初效过滤器进入螺杆式空压机，此过程无鼓风（仅增压），无粉尘产生（进风口已过滤），经隔音罩降低噪声。</w:t>
            </w:r>
          </w:p>
          <w:p w14:paraId="1150BD56">
            <w:pPr>
              <w:ind w:firstLine="480"/>
              <w:rPr>
                <w:rFonts w:hint="eastAsia"/>
                <w:b w:val="0"/>
                <w:bCs w:val="0"/>
              </w:rPr>
            </w:pPr>
            <w:r>
              <w:rPr>
                <w:rFonts w:hint="eastAsia" w:ascii="Times New Roman" w:eastAsia="宋体"/>
                <w:b w:val="0"/>
                <w:bCs w:val="0"/>
                <w:lang w:val="en-US" w:eastAsia="zh-CN"/>
              </w:rPr>
              <w:t>（</w:t>
            </w:r>
            <w:r>
              <w:rPr>
                <w:rFonts w:hint="eastAsia"/>
                <w:b w:val="0"/>
                <w:bCs w:val="0"/>
                <w:lang w:val="en-US" w:eastAsia="zh-CN"/>
              </w:rPr>
              <w:t>2</w:t>
            </w:r>
            <w:r>
              <w:rPr>
                <w:rFonts w:hint="eastAsia" w:ascii="Times New Roman" w:eastAsia="宋体"/>
                <w:b w:val="0"/>
                <w:bCs w:val="0"/>
                <w:lang w:val="en-US" w:eastAsia="zh-CN"/>
              </w:rPr>
              <w:t>）</w:t>
            </w:r>
            <w:r>
              <w:rPr>
                <w:rFonts w:hint="eastAsia"/>
                <w:b w:val="0"/>
                <w:bCs w:val="0"/>
                <w:lang w:val="en-US" w:eastAsia="zh-CN"/>
              </w:rPr>
              <w:t>空气干燥：压缩后空气进入冷冻式干燥机（密闭箱体，内部设蒸发器、冷凝器），干燥过程无鼓风，靠自然对流，无额外风机，无粉尘产生，设备设减振垫</w:t>
            </w:r>
            <w:r>
              <w:rPr>
                <w:rFonts w:hint="eastAsia" w:ascii="Times New Roman" w:eastAsia="宋体"/>
                <w:b w:val="0"/>
                <w:bCs w:val="0"/>
                <w:lang w:val="en-US" w:eastAsia="zh-CN"/>
              </w:rPr>
              <w:t>降低噪声</w:t>
            </w:r>
            <w:r>
              <w:rPr>
                <w:rFonts w:hint="eastAsia"/>
                <w:b w:val="0"/>
                <w:bCs w:val="0"/>
                <w:lang w:val="en-US" w:eastAsia="zh-CN"/>
              </w:rPr>
              <w:t>。</w:t>
            </w:r>
          </w:p>
          <w:p w14:paraId="54649F56">
            <w:pPr>
              <w:ind w:firstLine="480"/>
              <w:rPr>
                <w:rFonts w:hint="eastAsia"/>
                <w:b w:val="0"/>
                <w:bCs w:val="0"/>
              </w:rPr>
            </w:pPr>
            <w:r>
              <w:rPr>
                <w:rFonts w:hint="eastAsia" w:ascii="Times New Roman" w:eastAsia="宋体"/>
                <w:b w:val="0"/>
                <w:bCs w:val="0"/>
                <w:lang w:val="en-US" w:eastAsia="zh-CN"/>
              </w:rPr>
              <w:t>（</w:t>
            </w:r>
            <w:r>
              <w:rPr>
                <w:rFonts w:hint="eastAsia"/>
                <w:b w:val="0"/>
                <w:bCs w:val="0"/>
                <w:lang w:val="en-US" w:eastAsia="zh-CN"/>
              </w:rPr>
              <w:t>3</w:t>
            </w:r>
            <w:r>
              <w:rPr>
                <w:rFonts w:hint="eastAsia" w:ascii="Times New Roman" w:eastAsia="宋体"/>
                <w:b w:val="0"/>
                <w:bCs w:val="0"/>
                <w:lang w:val="en-US" w:eastAsia="zh-CN"/>
              </w:rPr>
              <w:t>）</w:t>
            </w:r>
            <w:r>
              <w:rPr>
                <w:rFonts w:hint="eastAsia"/>
                <w:b w:val="0"/>
                <w:bCs w:val="0"/>
                <w:lang w:val="en-US" w:eastAsia="zh-CN"/>
              </w:rPr>
              <w:t>存储使用：干燥后空气进入储气罐存储，供工序气力输送、搅拌用气。</w:t>
            </w:r>
          </w:p>
          <w:p w14:paraId="36E5295D">
            <w:pPr>
              <w:ind w:firstLine="480"/>
              <w:rPr>
                <w:rFonts w:hint="eastAsia" w:eastAsia="宋体"/>
                <w:lang w:eastAsia="zh-CN"/>
              </w:rPr>
            </w:pPr>
            <w:r>
              <w:rPr>
                <w:rFonts w:hint="eastAsia" w:eastAsia="宋体"/>
                <w:lang w:eastAsia="zh-CN"/>
              </w:rPr>
              <w:t>注：</w:t>
            </w:r>
            <w:r>
              <w:rPr>
                <w:rFonts w:hint="eastAsia"/>
                <w:lang w:eastAsia="zh-CN"/>
              </w:rPr>
              <w:t>生产</w:t>
            </w:r>
            <w:r>
              <w:rPr>
                <w:rFonts w:hint="eastAsia" w:eastAsia="宋体"/>
                <w:b w:val="0"/>
                <w:bCs w:val="0"/>
                <w:kern w:val="2"/>
                <w:sz w:val="24"/>
                <w:szCs w:val="24"/>
                <w:lang w:eastAsia="zh-CN"/>
              </w:rPr>
              <w:t>全过程位于生产车间内操作，地面粉尘由工人定期进行清理收集一并回用于生产。</w:t>
            </w:r>
          </w:p>
          <w:p w14:paraId="414B8FAB">
            <w:pPr>
              <w:keepNext/>
              <w:keepLines/>
              <w:ind w:firstLine="0" w:firstLineChars="0"/>
              <w:jc w:val="left"/>
              <w:outlineLvl w:val="2"/>
              <w:rPr>
                <w:b/>
                <w:bCs/>
                <w:sz w:val="28"/>
                <w:szCs w:val="32"/>
              </w:rPr>
            </w:pPr>
            <w:r>
              <w:rPr>
                <w:rFonts w:hint="eastAsia"/>
                <w:b/>
                <w:bCs/>
                <w:sz w:val="28"/>
                <w:szCs w:val="32"/>
              </w:rPr>
              <w:t>2.6.2主要产污环节</w:t>
            </w:r>
          </w:p>
          <w:p w14:paraId="5987D7BD">
            <w:pPr>
              <w:spacing w:before="120" w:beforeLines="50" w:line="240" w:lineRule="auto"/>
              <w:ind w:firstLine="0" w:firstLineChars="0"/>
              <w:jc w:val="center"/>
              <w:rPr>
                <w:b/>
              </w:rPr>
            </w:pPr>
            <w:r>
              <w:rPr>
                <w:rFonts w:hint="eastAsia"/>
                <w:b/>
              </w:rPr>
              <w:t>表2.6-1 主要污染工序一览表</w:t>
            </w:r>
          </w:p>
          <w:tbl>
            <w:tblPr>
              <w:tblStyle w:val="31"/>
              <w:tblW w:w="786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825"/>
              <w:gridCol w:w="2055"/>
              <w:gridCol w:w="1440"/>
              <w:gridCol w:w="2848"/>
            </w:tblGrid>
            <w:tr w14:paraId="6C285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93" w:type="dxa"/>
                  <w:tcBorders>
                    <w:tl2br w:val="nil"/>
                    <w:tr2bl w:val="nil"/>
                  </w:tcBorders>
                  <w:vAlign w:val="center"/>
                </w:tcPr>
                <w:p w14:paraId="45A898ED">
                  <w:pPr>
                    <w:adjustRightInd w:val="0"/>
                    <w:snapToGrid w:val="0"/>
                    <w:spacing w:line="320" w:lineRule="exact"/>
                    <w:ind w:firstLine="0" w:firstLineChars="0"/>
                    <w:jc w:val="center"/>
                    <w:rPr>
                      <w:b/>
                      <w:sz w:val="21"/>
                      <w:szCs w:val="21"/>
                      <w:lang w:eastAsia="en-US" w:bidi="en-US"/>
                    </w:rPr>
                  </w:pPr>
                  <w:r>
                    <w:rPr>
                      <w:b/>
                      <w:sz w:val="21"/>
                      <w:szCs w:val="21"/>
                      <w:lang w:bidi="en-US"/>
                    </w:rPr>
                    <w:t>序号</w:t>
                  </w:r>
                </w:p>
              </w:tc>
              <w:tc>
                <w:tcPr>
                  <w:tcW w:w="825" w:type="dxa"/>
                  <w:tcBorders>
                    <w:tl2br w:val="nil"/>
                    <w:tr2bl w:val="nil"/>
                  </w:tcBorders>
                  <w:vAlign w:val="center"/>
                </w:tcPr>
                <w:p w14:paraId="70873422">
                  <w:pPr>
                    <w:adjustRightInd w:val="0"/>
                    <w:snapToGrid w:val="0"/>
                    <w:spacing w:line="320" w:lineRule="exact"/>
                    <w:ind w:firstLine="0" w:firstLineChars="0"/>
                    <w:jc w:val="center"/>
                    <w:rPr>
                      <w:b/>
                      <w:sz w:val="21"/>
                      <w:szCs w:val="21"/>
                      <w:lang w:eastAsia="en-US" w:bidi="en-US"/>
                    </w:rPr>
                  </w:pPr>
                  <w:r>
                    <w:rPr>
                      <w:b/>
                      <w:sz w:val="21"/>
                      <w:szCs w:val="21"/>
                      <w:lang w:bidi="en-US"/>
                    </w:rPr>
                    <w:t>类别</w:t>
                  </w:r>
                </w:p>
              </w:tc>
              <w:tc>
                <w:tcPr>
                  <w:tcW w:w="2055" w:type="dxa"/>
                  <w:tcBorders>
                    <w:tl2br w:val="nil"/>
                    <w:tr2bl w:val="nil"/>
                  </w:tcBorders>
                  <w:vAlign w:val="center"/>
                </w:tcPr>
                <w:p w14:paraId="78419986">
                  <w:pPr>
                    <w:adjustRightInd w:val="0"/>
                    <w:snapToGrid w:val="0"/>
                    <w:spacing w:line="320" w:lineRule="exact"/>
                    <w:ind w:firstLine="0" w:firstLineChars="0"/>
                    <w:jc w:val="center"/>
                    <w:rPr>
                      <w:b/>
                      <w:sz w:val="21"/>
                      <w:szCs w:val="21"/>
                      <w:lang w:eastAsia="en-US" w:bidi="en-US"/>
                    </w:rPr>
                  </w:pPr>
                  <w:r>
                    <w:rPr>
                      <w:b/>
                      <w:sz w:val="21"/>
                      <w:szCs w:val="21"/>
                      <w:lang w:bidi="en-US"/>
                    </w:rPr>
                    <w:t>污染源或污染工序</w:t>
                  </w:r>
                </w:p>
              </w:tc>
              <w:tc>
                <w:tcPr>
                  <w:tcW w:w="1440" w:type="dxa"/>
                  <w:tcBorders>
                    <w:tl2br w:val="nil"/>
                    <w:tr2bl w:val="nil"/>
                  </w:tcBorders>
                  <w:vAlign w:val="center"/>
                </w:tcPr>
                <w:p w14:paraId="2BD6AEDA">
                  <w:pPr>
                    <w:adjustRightInd w:val="0"/>
                    <w:snapToGrid w:val="0"/>
                    <w:spacing w:line="320" w:lineRule="exact"/>
                    <w:ind w:firstLine="0" w:firstLineChars="0"/>
                    <w:jc w:val="center"/>
                    <w:rPr>
                      <w:b/>
                      <w:sz w:val="21"/>
                      <w:szCs w:val="21"/>
                      <w:lang w:eastAsia="en-US" w:bidi="en-US"/>
                    </w:rPr>
                  </w:pPr>
                  <w:r>
                    <w:rPr>
                      <w:b/>
                      <w:sz w:val="21"/>
                      <w:szCs w:val="21"/>
                      <w:lang w:bidi="en-US"/>
                    </w:rPr>
                    <w:t>主要污染物</w:t>
                  </w:r>
                </w:p>
              </w:tc>
              <w:tc>
                <w:tcPr>
                  <w:tcW w:w="2848" w:type="dxa"/>
                  <w:tcBorders>
                    <w:tl2br w:val="nil"/>
                    <w:tr2bl w:val="nil"/>
                  </w:tcBorders>
                  <w:vAlign w:val="center"/>
                </w:tcPr>
                <w:p w14:paraId="1DCF200D">
                  <w:pPr>
                    <w:adjustRightInd w:val="0"/>
                    <w:snapToGrid w:val="0"/>
                    <w:spacing w:line="320" w:lineRule="exact"/>
                    <w:ind w:firstLine="0" w:firstLineChars="0"/>
                    <w:jc w:val="center"/>
                    <w:rPr>
                      <w:b/>
                      <w:sz w:val="21"/>
                      <w:szCs w:val="21"/>
                      <w:lang w:eastAsia="en-US" w:bidi="en-US"/>
                    </w:rPr>
                  </w:pPr>
                  <w:r>
                    <w:rPr>
                      <w:b/>
                      <w:sz w:val="21"/>
                      <w:szCs w:val="21"/>
                      <w:lang w:bidi="en-US"/>
                    </w:rPr>
                    <w:t>环保措施</w:t>
                  </w:r>
                </w:p>
              </w:tc>
            </w:tr>
            <w:tr w14:paraId="13E99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3" w:type="dxa"/>
                  <w:tcBorders>
                    <w:tl2br w:val="nil"/>
                    <w:tr2bl w:val="nil"/>
                  </w:tcBorders>
                  <w:vAlign w:val="center"/>
                </w:tcPr>
                <w:p w14:paraId="49DD9023">
                  <w:pPr>
                    <w:adjustRightInd w:val="0"/>
                    <w:snapToGrid w:val="0"/>
                    <w:spacing w:line="320" w:lineRule="exact"/>
                    <w:ind w:firstLine="0" w:firstLineChars="0"/>
                    <w:jc w:val="center"/>
                    <w:rPr>
                      <w:bCs/>
                      <w:sz w:val="21"/>
                      <w:szCs w:val="21"/>
                      <w:lang w:bidi="en-US"/>
                    </w:rPr>
                  </w:pPr>
                  <w:r>
                    <w:rPr>
                      <w:bCs/>
                      <w:sz w:val="21"/>
                      <w:szCs w:val="21"/>
                      <w:lang w:bidi="en-US"/>
                    </w:rPr>
                    <w:t>1</w:t>
                  </w:r>
                </w:p>
              </w:tc>
              <w:tc>
                <w:tcPr>
                  <w:tcW w:w="825" w:type="dxa"/>
                  <w:tcBorders>
                    <w:tl2br w:val="nil"/>
                    <w:tr2bl w:val="nil"/>
                  </w:tcBorders>
                  <w:vAlign w:val="center"/>
                </w:tcPr>
                <w:p w14:paraId="7B2C4217">
                  <w:pPr>
                    <w:adjustRightInd w:val="0"/>
                    <w:snapToGrid w:val="0"/>
                    <w:spacing w:line="320" w:lineRule="exact"/>
                    <w:ind w:firstLine="0" w:firstLineChars="0"/>
                    <w:jc w:val="center"/>
                    <w:rPr>
                      <w:bCs/>
                      <w:sz w:val="21"/>
                      <w:szCs w:val="21"/>
                      <w:lang w:bidi="en-US"/>
                    </w:rPr>
                  </w:pPr>
                  <w:r>
                    <w:rPr>
                      <w:bCs/>
                      <w:sz w:val="21"/>
                      <w:szCs w:val="21"/>
                      <w:lang w:bidi="en-US"/>
                    </w:rPr>
                    <w:t>废水</w:t>
                  </w:r>
                </w:p>
              </w:tc>
              <w:tc>
                <w:tcPr>
                  <w:tcW w:w="2055" w:type="dxa"/>
                  <w:tcBorders>
                    <w:tl2br w:val="nil"/>
                    <w:tr2bl w:val="nil"/>
                  </w:tcBorders>
                  <w:vAlign w:val="center"/>
                </w:tcPr>
                <w:p w14:paraId="1E02D011">
                  <w:pPr>
                    <w:adjustRightInd w:val="0"/>
                    <w:snapToGrid w:val="0"/>
                    <w:spacing w:line="320" w:lineRule="exact"/>
                    <w:ind w:firstLine="0" w:firstLineChars="0"/>
                    <w:jc w:val="center"/>
                    <w:rPr>
                      <w:bCs/>
                      <w:sz w:val="21"/>
                      <w:szCs w:val="21"/>
                      <w:lang w:bidi="en-US"/>
                    </w:rPr>
                  </w:pPr>
                  <w:r>
                    <w:rPr>
                      <w:bCs/>
                      <w:sz w:val="21"/>
                      <w:szCs w:val="21"/>
                      <w:lang w:bidi="en-US"/>
                    </w:rPr>
                    <w:t>职工生活过程中产生的生活污水</w:t>
                  </w:r>
                </w:p>
              </w:tc>
              <w:tc>
                <w:tcPr>
                  <w:tcW w:w="1440" w:type="dxa"/>
                  <w:tcBorders>
                    <w:tl2br w:val="nil"/>
                    <w:tr2bl w:val="nil"/>
                  </w:tcBorders>
                  <w:vAlign w:val="center"/>
                </w:tcPr>
                <w:p w14:paraId="4D073CBF">
                  <w:pPr>
                    <w:adjustRightInd w:val="0"/>
                    <w:snapToGrid w:val="0"/>
                    <w:spacing w:line="320" w:lineRule="exact"/>
                    <w:ind w:firstLine="0" w:firstLineChars="0"/>
                    <w:jc w:val="center"/>
                    <w:rPr>
                      <w:bCs/>
                      <w:sz w:val="21"/>
                      <w:szCs w:val="21"/>
                      <w:lang w:bidi="en-US"/>
                    </w:rPr>
                  </w:pPr>
                  <w:r>
                    <w:rPr>
                      <w:bCs/>
                      <w:sz w:val="21"/>
                      <w:szCs w:val="21"/>
                      <w:lang w:bidi="en-US"/>
                    </w:rPr>
                    <w:t>pH、COD、SS、 BODs、氨氮</w:t>
                  </w:r>
                </w:p>
              </w:tc>
              <w:tc>
                <w:tcPr>
                  <w:tcW w:w="2848" w:type="dxa"/>
                  <w:tcBorders>
                    <w:tl2br w:val="nil"/>
                    <w:tr2bl w:val="nil"/>
                  </w:tcBorders>
                  <w:vAlign w:val="center"/>
                </w:tcPr>
                <w:p w14:paraId="01D7383A">
                  <w:pPr>
                    <w:adjustRightInd w:val="0"/>
                    <w:snapToGrid w:val="0"/>
                    <w:spacing w:line="320" w:lineRule="exact"/>
                    <w:ind w:firstLine="0" w:firstLineChars="0"/>
                    <w:jc w:val="center"/>
                    <w:rPr>
                      <w:bCs/>
                      <w:sz w:val="21"/>
                      <w:szCs w:val="21"/>
                      <w:lang w:bidi="en-US"/>
                    </w:rPr>
                  </w:pPr>
                  <w:r>
                    <w:rPr>
                      <w:rFonts w:hint="eastAsia"/>
                      <w:sz w:val="21"/>
                      <w:szCs w:val="21"/>
                    </w:rPr>
                    <w:t>生活污水经化粪池预处理后由市政污水管网排放至闽侯县城关污水处理厂</w:t>
                  </w:r>
                </w:p>
              </w:tc>
            </w:tr>
            <w:tr w14:paraId="49C72E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693" w:type="dxa"/>
                  <w:vMerge w:val="restart"/>
                  <w:tcBorders>
                    <w:tl2br w:val="nil"/>
                    <w:tr2bl w:val="nil"/>
                  </w:tcBorders>
                  <w:vAlign w:val="center"/>
                </w:tcPr>
                <w:p w14:paraId="542296C6">
                  <w:pPr>
                    <w:adjustRightInd w:val="0"/>
                    <w:snapToGrid w:val="0"/>
                    <w:spacing w:line="320" w:lineRule="exact"/>
                    <w:ind w:firstLine="0" w:firstLineChars="0"/>
                    <w:jc w:val="center"/>
                    <w:rPr>
                      <w:bCs/>
                      <w:sz w:val="21"/>
                      <w:szCs w:val="21"/>
                      <w:lang w:bidi="en-US"/>
                    </w:rPr>
                  </w:pPr>
                  <w:r>
                    <w:rPr>
                      <w:bCs/>
                      <w:sz w:val="21"/>
                      <w:szCs w:val="21"/>
                      <w:lang w:bidi="en-US"/>
                    </w:rPr>
                    <w:t>2</w:t>
                  </w:r>
                </w:p>
              </w:tc>
              <w:tc>
                <w:tcPr>
                  <w:tcW w:w="825" w:type="dxa"/>
                  <w:vMerge w:val="restart"/>
                  <w:tcBorders>
                    <w:tl2br w:val="nil"/>
                    <w:tr2bl w:val="nil"/>
                  </w:tcBorders>
                  <w:vAlign w:val="center"/>
                </w:tcPr>
                <w:p w14:paraId="1FAF72E9">
                  <w:pPr>
                    <w:adjustRightInd w:val="0"/>
                    <w:snapToGrid w:val="0"/>
                    <w:spacing w:line="320" w:lineRule="exact"/>
                    <w:ind w:firstLine="0" w:firstLineChars="0"/>
                    <w:jc w:val="center"/>
                    <w:rPr>
                      <w:bCs/>
                      <w:sz w:val="21"/>
                      <w:szCs w:val="21"/>
                      <w:lang w:bidi="en-US"/>
                    </w:rPr>
                  </w:pPr>
                  <w:r>
                    <w:rPr>
                      <w:bCs/>
                      <w:sz w:val="21"/>
                      <w:szCs w:val="21"/>
                      <w:lang w:bidi="en-US"/>
                    </w:rPr>
                    <w:t>废气</w:t>
                  </w:r>
                </w:p>
              </w:tc>
              <w:tc>
                <w:tcPr>
                  <w:tcW w:w="2055" w:type="dxa"/>
                  <w:tcBorders>
                    <w:tl2br w:val="nil"/>
                    <w:tr2bl w:val="nil"/>
                  </w:tcBorders>
                  <w:vAlign w:val="center"/>
                </w:tcPr>
                <w:p w14:paraId="27956B48">
                  <w:pPr>
                    <w:adjustRightInd w:val="0"/>
                    <w:snapToGrid w:val="0"/>
                    <w:spacing w:line="320" w:lineRule="exact"/>
                    <w:ind w:firstLine="0" w:firstLineChars="0"/>
                    <w:jc w:val="center"/>
                    <w:rPr>
                      <w:bCs/>
                      <w:sz w:val="21"/>
                      <w:szCs w:val="21"/>
                      <w:lang w:bidi="en-US"/>
                    </w:rPr>
                  </w:pPr>
                  <w:r>
                    <w:rPr>
                      <w:bCs/>
                      <w:sz w:val="21"/>
                      <w:szCs w:val="21"/>
                      <w:lang w:bidi="en-US"/>
                    </w:rPr>
                    <w:t>投料</w:t>
                  </w:r>
                  <w:r>
                    <w:rPr>
                      <w:rFonts w:hint="eastAsia"/>
                      <w:bCs/>
                      <w:sz w:val="21"/>
                      <w:szCs w:val="21"/>
                      <w:lang w:bidi="en-US"/>
                    </w:rPr>
                    <w:t>工序G1</w:t>
                  </w:r>
                </w:p>
              </w:tc>
              <w:tc>
                <w:tcPr>
                  <w:tcW w:w="1440" w:type="dxa"/>
                  <w:vMerge w:val="restart"/>
                  <w:tcBorders>
                    <w:tl2br w:val="nil"/>
                    <w:tr2bl w:val="nil"/>
                  </w:tcBorders>
                  <w:vAlign w:val="center"/>
                </w:tcPr>
                <w:p w14:paraId="17C92791">
                  <w:pPr>
                    <w:adjustRightInd w:val="0"/>
                    <w:snapToGrid w:val="0"/>
                    <w:spacing w:line="320" w:lineRule="exact"/>
                    <w:ind w:firstLine="0" w:firstLineChars="0"/>
                    <w:jc w:val="center"/>
                    <w:rPr>
                      <w:bCs/>
                      <w:sz w:val="21"/>
                      <w:szCs w:val="21"/>
                      <w:lang w:bidi="en-US"/>
                    </w:rPr>
                  </w:pPr>
                  <w:r>
                    <w:rPr>
                      <w:bCs/>
                      <w:sz w:val="21"/>
                      <w:szCs w:val="21"/>
                      <w:lang w:bidi="en-US"/>
                    </w:rPr>
                    <w:t>颗粒物</w:t>
                  </w:r>
                </w:p>
              </w:tc>
              <w:tc>
                <w:tcPr>
                  <w:tcW w:w="2848" w:type="dxa"/>
                  <w:vMerge w:val="restart"/>
                  <w:tcBorders>
                    <w:tl2br w:val="nil"/>
                    <w:tr2bl w:val="nil"/>
                  </w:tcBorders>
                  <w:vAlign w:val="center"/>
                </w:tcPr>
                <w:p w14:paraId="7B5E4AFF">
                  <w:pPr>
                    <w:adjustRightInd w:val="0"/>
                    <w:snapToGrid w:val="0"/>
                    <w:spacing w:line="320" w:lineRule="exact"/>
                    <w:ind w:firstLine="0" w:firstLineChars="0"/>
                    <w:jc w:val="center"/>
                    <w:rPr>
                      <w:bCs/>
                      <w:color w:val="0000FF"/>
                      <w:sz w:val="21"/>
                      <w:szCs w:val="21"/>
                    </w:rPr>
                  </w:pPr>
                  <w:r>
                    <w:rPr>
                      <w:rFonts w:hint="eastAsia"/>
                      <w:bCs/>
                      <w:sz w:val="21"/>
                      <w:szCs w:val="21"/>
                      <w:lang w:bidi="en-US"/>
                    </w:rPr>
                    <w:t>半封闭式围挡+集气罩+脉冲</w:t>
                  </w:r>
                  <w:r>
                    <w:rPr>
                      <w:bCs/>
                      <w:sz w:val="21"/>
                      <w:szCs w:val="21"/>
                      <w:lang w:bidi="en-US"/>
                    </w:rPr>
                    <w:t>布袋除尘器</w:t>
                  </w:r>
                  <w:r>
                    <w:rPr>
                      <w:rFonts w:hint="eastAsia"/>
                      <w:bCs/>
                      <w:sz w:val="21"/>
                      <w:szCs w:val="21"/>
                      <w:lang w:bidi="en-US"/>
                    </w:rPr>
                    <w:t>+1根</w:t>
                  </w:r>
                  <w:r>
                    <w:rPr>
                      <w:rFonts w:hint="eastAsia"/>
                      <w:bCs/>
                      <w:sz w:val="21"/>
                      <w:szCs w:val="21"/>
                      <w:lang w:val="en-US" w:eastAsia="zh-CN" w:bidi="en-US"/>
                    </w:rPr>
                    <w:t>3</w:t>
                  </w:r>
                  <w:r>
                    <w:rPr>
                      <w:rFonts w:hint="eastAsia"/>
                      <w:bCs/>
                      <w:sz w:val="21"/>
                      <w:szCs w:val="21"/>
                      <w:lang w:bidi="en-US"/>
                    </w:rPr>
                    <w:t>0m高排气筒（</w:t>
                  </w:r>
                  <w:r>
                    <w:rPr>
                      <w:bCs/>
                      <w:sz w:val="21"/>
                      <w:szCs w:val="21"/>
                      <w:lang w:bidi="en-US"/>
                    </w:rPr>
                    <w:t>DA001</w:t>
                  </w:r>
                  <w:r>
                    <w:rPr>
                      <w:rFonts w:hint="eastAsia"/>
                      <w:bCs/>
                      <w:sz w:val="21"/>
                      <w:szCs w:val="21"/>
                      <w:lang w:bidi="en-US"/>
                    </w:rPr>
                    <w:t>）</w:t>
                  </w:r>
                </w:p>
              </w:tc>
            </w:tr>
            <w:tr w14:paraId="19813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3" w:type="dxa"/>
                  <w:vMerge w:val="continue"/>
                  <w:tcBorders>
                    <w:tl2br w:val="nil"/>
                    <w:tr2bl w:val="nil"/>
                  </w:tcBorders>
                  <w:vAlign w:val="center"/>
                </w:tcPr>
                <w:p w14:paraId="58B7B5AD">
                  <w:pPr>
                    <w:adjustRightInd w:val="0"/>
                    <w:snapToGrid w:val="0"/>
                    <w:spacing w:line="320" w:lineRule="exact"/>
                    <w:ind w:firstLine="0" w:firstLineChars="0"/>
                    <w:jc w:val="center"/>
                    <w:rPr>
                      <w:bCs/>
                      <w:sz w:val="21"/>
                      <w:szCs w:val="21"/>
                      <w:lang w:bidi="en-US"/>
                    </w:rPr>
                  </w:pPr>
                </w:p>
              </w:tc>
              <w:tc>
                <w:tcPr>
                  <w:tcW w:w="825" w:type="dxa"/>
                  <w:vMerge w:val="continue"/>
                  <w:tcBorders>
                    <w:tl2br w:val="nil"/>
                    <w:tr2bl w:val="nil"/>
                  </w:tcBorders>
                  <w:vAlign w:val="center"/>
                </w:tcPr>
                <w:p w14:paraId="00C090EA">
                  <w:pPr>
                    <w:adjustRightInd w:val="0"/>
                    <w:snapToGrid w:val="0"/>
                    <w:spacing w:line="320" w:lineRule="exact"/>
                    <w:ind w:firstLine="0" w:firstLineChars="0"/>
                    <w:jc w:val="center"/>
                    <w:rPr>
                      <w:bCs/>
                      <w:sz w:val="21"/>
                      <w:szCs w:val="21"/>
                      <w:lang w:bidi="en-US"/>
                    </w:rPr>
                  </w:pPr>
                </w:p>
              </w:tc>
              <w:tc>
                <w:tcPr>
                  <w:tcW w:w="2055" w:type="dxa"/>
                  <w:tcBorders>
                    <w:tl2br w:val="nil"/>
                    <w:tr2bl w:val="nil"/>
                  </w:tcBorders>
                  <w:vAlign w:val="center"/>
                </w:tcPr>
                <w:p w14:paraId="77F112B4">
                  <w:pPr>
                    <w:adjustRightInd w:val="0"/>
                    <w:snapToGrid w:val="0"/>
                    <w:spacing w:line="320" w:lineRule="exact"/>
                    <w:ind w:firstLine="0" w:firstLineChars="0"/>
                    <w:jc w:val="center"/>
                    <w:rPr>
                      <w:bCs/>
                      <w:sz w:val="21"/>
                      <w:szCs w:val="21"/>
                      <w:lang w:bidi="en-US"/>
                    </w:rPr>
                  </w:pPr>
                  <w:r>
                    <w:rPr>
                      <w:rFonts w:hint="eastAsia"/>
                      <w:bCs/>
                      <w:sz w:val="21"/>
                      <w:szCs w:val="21"/>
                      <w:lang w:bidi="en-US"/>
                    </w:rPr>
                    <w:t>出料包装G4</w:t>
                  </w:r>
                </w:p>
              </w:tc>
              <w:tc>
                <w:tcPr>
                  <w:tcW w:w="1440" w:type="dxa"/>
                  <w:vMerge w:val="continue"/>
                  <w:tcBorders>
                    <w:tl2br w:val="nil"/>
                    <w:tr2bl w:val="nil"/>
                  </w:tcBorders>
                  <w:vAlign w:val="center"/>
                </w:tcPr>
                <w:p w14:paraId="08901E2B">
                  <w:pPr>
                    <w:adjustRightInd w:val="0"/>
                    <w:snapToGrid w:val="0"/>
                    <w:spacing w:line="320" w:lineRule="exact"/>
                    <w:ind w:firstLine="0" w:firstLineChars="0"/>
                    <w:jc w:val="center"/>
                    <w:rPr>
                      <w:bCs/>
                      <w:sz w:val="21"/>
                      <w:szCs w:val="21"/>
                      <w:lang w:bidi="en-US"/>
                    </w:rPr>
                  </w:pPr>
                </w:p>
              </w:tc>
              <w:tc>
                <w:tcPr>
                  <w:tcW w:w="2848" w:type="dxa"/>
                  <w:vMerge w:val="continue"/>
                  <w:tcBorders>
                    <w:tl2br w:val="nil"/>
                    <w:tr2bl w:val="nil"/>
                  </w:tcBorders>
                  <w:vAlign w:val="center"/>
                </w:tcPr>
                <w:p w14:paraId="3E404501">
                  <w:pPr>
                    <w:adjustRightInd w:val="0"/>
                    <w:snapToGrid w:val="0"/>
                    <w:spacing w:line="320" w:lineRule="exact"/>
                    <w:ind w:firstLine="0" w:firstLineChars="0"/>
                    <w:jc w:val="center"/>
                    <w:rPr>
                      <w:bCs/>
                      <w:sz w:val="21"/>
                      <w:szCs w:val="21"/>
                      <w:lang w:bidi="en-US"/>
                    </w:rPr>
                  </w:pPr>
                </w:p>
              </w:tc>
            </w:tr>
            <w:tr w14:paraId="7854F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93" w:type="dxa"/>
                  <w:vMerge w:val="continue"/>
                  <w:tcBorders>
                    <w:tl2br w:val="nil"/>
                    <w:tr2bl w:val="nil"/>
                  </w:tcBorders>
                  <w:vAlign w:val="center"/>
                </w:tcPr>
                <w:p w14:paraId="6AFF1B3C">
                  <w:pPr>
                    <w:adjustRightInd w:val="0"/>
                    <w:snapToGrid w:val="0"/>
                    <w:spacing w:line="320" w:lineRule="exact"/>
                    <w:ind w:firstLine="0" w:firstLineChars="0"/>
                    <w:jc w:val="center"/>
                    <w:rPr>
                      <w:bCs/>
                      <w:sz w:val="21"/>
                      <w:szCs w:val="21"/>
                      <w:lang w:bidi="en-US"/>
                    </w:rPr>
                  </w:pPr>
                </w:p>
              </w:tc>
              <w:tc>
                <w:tcPr>
                  <w:tcW w:w="825" w:type="dxa"/>
                  <w:vMerge w:val="continue"/>
                  <w:tcBorders>
                    <w:tl2br w:val="nil"/>
                    <w:tr2bl w:val="nil"/>
                  </w:tcBorders>
                  <w:vAlign w:val="center"/>
                </w:tcPr>
                <w:p w14:paraId="48D1A38E">
                  <w:pPr>
                    <w:adjustRightInd w:val="0"/>
                    <w:snapToGrid w:val="0"/>
                    <w:spacing w:line="320" w:lineRule="exact"/>
                    <w:ind w:firstLine="0" w:firstLineChars="0"/>
                    <w:jc w:val="center"/>
                    <w:rPr>
                      <w:bCs/>
                      <w:sz w:val="21"/>
                      <w:szCs w:val="21"/>
                      <w:lang w:bidi="en-US"/>
                    </w:rPr>
                  </w:pPr>
                </w:p>
              </w:tc>
              <w:tc>
                <w:tcPr>
                  <w:tcW w:w="2055" w:type="dxa"/>
                  <w:tcBorders>
                    <w:tl2br w:val="nil"/>
                    <w:tr2bl w:val="nil"/>
                  </w:tcBorders>
                  <w:vAlign w:val="center"/>
                </w:tcPr>
                <w:p w14:paraId="18BF3612">
                  <w:pPr>
                    <w:adjustRightInd w:val="0"/>
                    <w:snapToGrid w:val="0"/>
                    <w:spacing w:line="320" w:lineRule="exact"/>
                    <w:ind w:firstLine="0" w:firstLineChars="0"/>
                    <w:jc w:val="center"/>
                    <w:rPr>
                      <w:bCs/>
                      <w:sz w:val="21"/>
                      <w:szCs w:val="21"/>
                      <w:lang w:bidi="en-US"/>
                    </w:rPr>
                  </w:pPr>
                  <w:r>
                    <w:rPr>
                      <w:rFonts w:hint="eastAsia"/>
                      <w:bCs/>
                      <w:sz w:val="21"/>
                      <w:szCs w:val="21"/>
                      <w:lang w:bidi="en-US"/>
                    </w:rPr>
                    <w:t>储罐呼吸G2</w:t>
                  </w:r>
                </w:p>
              </w:tc>
              <w:tc>
                <w:tcPr>
                  <w:tcW w:w="1440" w:type="dxa"/>
                  <w:vMerge w:val="continue"/>
                  <w:tcBorders>
                    <w:tl2br w:val="nil"/>
                    <w:tr2bl w:val="nil"/>
                  </w:tcBorders>
                  <w:vAlign w:val="center"/>
                </w:tcPr>
                <w:p w14:paraId="288B922E">
                  <w:pPr>
                    <w:adjustRightInd w:val="0"/>
                    <w:snapToGrid w:val="0"/>
                    <w:spacing w:line="320" w:lineRule="exact"/>
                    <w:ind w:firstLine="0" w:firstLineChars="0"/>
                    <w:jc w:val="center"/>
                    <w:rPr>
                      <w:bCs/>
                      <w:sz w:val="21"/>
                      <w:szCs w:val="21"/>
                      <w:lang w:bidi="en-US"/>
                    </w:rPr>
                  </w:pPr>
                </w:p>
              </w:tc>
              <w:tc>
                <w:tcPr>
                  <w:tcW w:w="2848" w:type="dxa"/>
                  <w:vMerge w:val="restart"/>
                  <w:tcBorders>
                    <w:tl2br w:val="nil"/>
                    <w:tr2bl w:val="nil"/>
                  </w:tcBorders>
                  <w:vAlign w:val="center"/>
                </w:tcPr>
                <w:p w14:paraId="0E74CF29">
                  <w:pPr>
                    <w:spacing w:line="240" w:lineRule="auto"/>
                    <w:ind w:firstLine="0" w:firstLineChars="0"/>
                    <w:jc w:val="center"/>
                    <w:rPr>
                      <w:bCs/>
                      <w:color w:val="0000FF"/>
                      <w:sz w:val="21"/>
                      <w:szCs w:val="21"/>
                    </w:rPr>
                  </w:pPr>
                  <w:r>
                    <w:rPr>
                      <w:rFonts w:hint="eastAsia"/>
                      <w:bCs/>
                      <w:sz w:val="21"/>
                      <w:szCs w:val="21"/>
                      <w:lang w:bidi="en-US"/>
                    </w:rPr>
                    <w:t>脉冲</w:t>
                  </w:r>
                  <w:r>
                    <w:rPr>
                      <w:bCs/>
                      <w:sz w:val="21"/>
                      <w:szCs w:val="21"/>
                      <w:lang w:bidi="en-US"/>
                    </w:rPr>
                    <w:t>布袋除尘器</w:t>
                  </w:r>
                  <w:r>
                    <w:rPr>
                      <w:rFonts w:hint="eastAsia"/>
                      <w:bCs/>
                      <w:sz w:val="21"/>
                      <w:szCs w:val="21"/>
                      <w:lang w:bidi="en-US"/>
                    </w:rPr>
                    <w:t>+1根</w:t>
                  </w:r>
                  <w:r>
                    <w:rPr>
                      <w:rFonts w:hint="eastAsia"/>
                      <w:bCs/>
                      <w:sz w:val="21"/>
                      <w:szCs w:val="21"/>
                      <w:lang w:val="en-US" w:eastAsia="zh-CN" w:bidi="en-US"/>
                    </w:rPr>
                    <w:t>3</w:t>
                  </w:r>
                  <w:r>
                    <w:rPr>
                      <w:rFonts w:hint="eastAsia"/>
                      <w:bCs/>
                      <w:sz w:val="21"/>
                      <w:szCs w:val="21"/>
                      <w:lang w:bidi="en-US"/>
                    </w:rPr>
                    <w:t>0m高排气筒（</w:t>
                  </w:r>
                  <w:r>
                    <w:rPr>
                      <w:bCs/>
                      <w:sz w:val="21"/>
                      <w:szCs w:val="21"/>
                      <w:lang w:bidi="en-US"/>
                    </w:rPr>
                    <w:t>DA001</w:t>
                  </w:r>
                  <w:r>
                    <w:rPr>
                      <w:rFonts w:hint="eastAsia"/>
                      <w:bCs/>
                      <w:sz w:val="21"/>
                      <w:szCs w:val="21"/>
                      <w:lang w:bidi="en-US"/>
                    </w:rPr>
                    <w:t>）</w:t>
                  </w:r>
                </w:p>
              </w:tc>
            </w:tr>
            <w:tr w14:paraId="2A1910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3" w:type="dxa"/>
                  <w:vMerge w:val="continue"/>
                  <w:tcBorders>
                    <w:tl2br w:val="nil"/>
                    <w:tr2bl w:val="nil"/>
                  </w:tcBorders>
                  <w:vAlign w:val="center"/>
                </w:tcPr>
                <w:p w14:paraId="5F030C7A">
                  <w:pPr>
                    <w:adjustRightInd w:val="0"/>
                    <w:snapToGrid w:val="0"/>
                    <w:spacing w:line="320" w:lineRule="exact"/>
                    <w:ind w:firstLine="0" w:firstLineChars="0"/>
                    <w:jc w:val="center"/>
                    <w:rPr>
                      <w:bCs/>
                      <w:sz w:val="21"/>
                      <w:szCs w:val="21"/>
                      <w:lang w:bidi="en-US"/>
                    </w:rPr>
                  </w:pPr>
                </w:p>
              </w:tc>
              <w:tc>
                <w:tcPr>
                  <w:tcW w:w="825" w:type="dxa"/>
                  <w:vMerge w:val="continue"/>
                  <w:tcBorders>
                    <w:tl2br w:val="nil"/>
                    <w:tr2bl w:val="nil"/>
                  </w:tcBorders>
                  <w:vAlign w:val="center"/>
                </w:tcPr>
                <w:p w14:paraId="4F359BAA">
                  <w:pPr>
                    <w:adjustRightInd w:val="0"/>
                    <w:snapToGrid w:val="0"/>
                    <w:spacing w:line="320" w:lineRule="exact"/>
                    <w:ind w:firstLine="0" w:firstLineChars="0"/>
                    <w:jc w:val="center"/>
                    <w:rPr>
                      <w:bCs/>
                      <w:sz w:val="21"/>
                      <w:szCs w:val="21"/>
                      <w:lang w:bidi="en-US"/>
                    </w:rPr>
                  </w:pPr>
                </w:p>
              </w:tc>
              <w:tc>
                <w:tcPr>
                  <w:tcW w:w="2055" w:type="dxa"/>
                  <w:tcBorders>
                    <w:tl2br w:val="nil"/>
                    <w:tr2bl w:val="nil"/>
                  </w:tcBorders>
                  <w:vAlign w:val="center"/>
                </w:tcPr>
                <w:p w14:paraId="3C0F121D">
                  <w:pPr>
                    <w:adjustRightInd w:val="0"/>
                    <w:snapToGrid w:val="0"/>
                    <w:spacing w:line="320" w:lineRule="exact"/>
                    <w:ind w:firstLine="0" w:firstLineChars="0"/>
                    <w:jc w:val="center"/>
                    <w:rPr>
                      <w:bCs/>
                      <w:sz w:val="21"/>
                      <w:szCs w:val="21"/>
                      <w:lang w:bidi="en-US"/>
                    </w:rPr>
                  </w:pPr>
                  <w:r>
                    <w:rPr>
                      <w:rFonts w:hint="eastAsia"/>
                      <w:bCs/>
                      <w:sz w:val="21"/>
                      <w:szCs w:val="21"/>
                      <w:lang w:bidi="en-US"/>
                    </w:rPr>
                    <w:t>搅拌工序G3</w:t>
                  </w:r>
                </w:p>
              </w:tc>
              <w:tc>
                <w:tcPr>
                  <w:tcW w:w="1440" w:type="dxa"/>
                  <w:vMerge w:val="continue"/>
                  <w:tcBorders>
                    <w:tl2br w:val="nil"/>
                    <w:tr2bl w:val="nil"/>
                  </w:tcBorders>
                  <w:vAlign w:val="center"/>
                </w:tcPr>
                <w:p w14:paraId="44E98F88">
                  <w:pPr>
                    <w:adjustRightInd w:val="0"/>
                    <w:snapToGrid w:val="0"/>
                    <w:spacing w:line="320" w:lineRule="exact"/>
                    <w:ind w:firstLine="0" w:firstLineChars="0"/>
                    <w:jc w:val="center"/>
                    <w:rPr>
                      <w:bCs/>
                      <w:sz w:val="21"/>
                      <w:szCs w:val="21"/>
                      <w:lang w:bidi="en-US"/>
                    </w:rPr>
                  </w:pPr>
                </w:p>
              </w:tc>
              <w:tc>
                <w:tcPr>
                  <w:tcW w:w="2848" w:type="dxa"/>
                  <w:vMerge w:val="continue"/>
                  <w:tcBorders>
                    <w:tl2br w:val="nil"/>
                    <w:tr2bl w:val="nil"/>
                  </w:tcBorders>
                  <w:vAlign w:val="center"/>
                </w:tcPr>
                <w:p w14:paraId="0376336E">
                  <w:pPr>
                    <w:spacing w:line="240" w:lineRule="auto"/>
                    <w:ind w:firstLine="0" w:firstLineChars="0"/>
                    <w:jc w:val="center"/>
                    <w:rPr>
                      <w:bCs/>
                      <w:color w:val="0000FF"/>
                      <w:sz w:val="21"/>
                      <w:szCs w:val="21"/>
                    </w:rPr>
                  </w:pPr>
                </w:p>
              </w:tc>
            </w:tr>
            <w:tr w14:paraId="3FE60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3" w:type="dxa"/>
                  <w:vMerge w:val="continue"/>
                  <w:tcBorders>
                    <w:tl2br w:val="nil"/>
                    <w:tr2bl w:val="nil"/>
                  </w:tcBorders>
                  <w:vAlign w:val="center"/>
                </w:tcPr>
                <w:p w14:paraId="63E09664">
                  <w:pPr>
                    <w:adjustRightInd w:val="0"/>
                    <w:snapToGrid w:val="0"/>
                    <w:spacing w:line="320" w:lineRule="exact"/>
                    <w:ind w:firstLine="0" w:firstLineChars="0"/>
                    <w:jc w:val="center"/>
                    <w:rPr>
                      <w:bCs/>
                      <w:sz w:val="21"/>
                      <w:szCs w:val="21"/>
                      <w:lang w:bidi="en-US"/>
                    </w:rPr>
                  </w:pPr>
                </w:p>
              </w:tc>
              <w:tc>
                <w:tcPr>
                  <w:tcW w:w="825" w:type="dxa"/>
                  <w:vMerge w:val="continue"/>
                  <w:tcBorders>
                    <w:tl2br w:val="nil"/>
                    <w:tr2bl w:val="nil"/>
                  </w:tcBorders>
                  <w:vAlign w:val="center"/>
                </w:tcPr>
                <w:p w14:paraId="4E4CBA3C">
                  <w:pPr>
                    <w:adjustRightInd w:val="0"/>
                    <w:snapToGrid w:val="0"/>
                    <w:spacing w:line="320" w:lineRule="exact"/>
                    <w:ind w:firstLine="0" w:firstLineChars="0"/>
                    <w:jc w:val="center"/>
                    <w:rPr>
                      <w:bCs/>
                      <w:sz w:val="21"/>
                      <w:szCs w:val="21"/>
                      <w:lang w:bidi="en-US"/>
                    </w:rPr>
                  </w:pPr>
                </w:p>
              </w:tc>
              <w:tc>
                <w:tcPr>
                  <w:tcW w:w="2055" w:type="dxa"/>
                  <w:tcBorders>
                    <w:tl2br w:val="nil"/>
                    <w:tr2bl w:val="nil"/>
                  </w:tcBorders>
                  <w:vAlign w:val="center"/>
                </w:tcPr>
                <w:p w14:paraId="09995413">
                  <w:pPr>
                    <w:adjustRightInd w:val="0"/>
                    <w:snapToGrid w:val="0"/>
                    <w:spacing w:line="320" w:lineRule="exact"/>
                    <w:ind w:firstLine="0" w:firstLineChars="0"/>
                    <w:jc w:val="center"/>
                    <w:rPr>
                      <w:bCs/>
                      <w:sz w:val="21"/>
                      <w:szCs w:val="21"/>
                      <w:lang w:bidi="en-US"/>
                    </w:rPr>
                  </w:pPr>
                  <w:r>
                    <w:rPr>
                      <w:rFonts w:hint="eastAsia"/>
                      <w:bCs/>
                      <w:sz w:val="21"/>
                      <w:szCs w:val="21"/>
                      <w:lang w:bidi="en-US"/>
                    </w:rPr>
                    <w:t>车辆运输G5</w:t>
                  </w:r>
                </w:p>
              </w:tc>
              <w:tc>
                <w:tcPr>
                  <w:tcW w:w="1440" w:type="dxa"/>
                  <w:vMerge w:val="continue"/>
                  <w:tcBorders>
                    <w:tl2br w:val="nil"/>
                    <w:tr2bl w:val="nil"/>
                  </w:tcBorders>
                  <w:vAlign w:val="center"/>
                </w:tcPr>
                <w:p w14:paraId="62F57A6C">
                  <w:pPr>
                    <w:adjustRightInd w:val="0"/>
                    <w:snapToGrid w:val="0"/>
                    <w:spacing w:line="320" w:lineRule="exact"/>
                    <w:ind w:firstLine="0" w:firstLineChars="0"/>
                    <w:jc w:val="center"/>
                    <w:rPr>
                      <w:bCs/>
                      <w:sz w:val="21"/>
                      <w:szCs w:val="21"/>
                      <w:lang w:bidi="en-US"/>
                    </w:rPr>
                  </w:pPr>
                </w:p>
              </w:tc>
              <w:tc>
                <w:tcPr>
                  <w:tcW w:w="2848" w:type="dxa"/>
                  <w:tcBorders>
                    <w:tl2br w:val="nil"/>
                    <w:tr2bl w:val="nil"/>
                  </w:tcBorders>
                  <w:vAlign w:val="center"/>
                </w:tcPr>
                <w:p w14:paraId="3A9A7FFE">
                  <w:pPr>
                    <w:spacing w:line="240" w:lineRule="auto"/>
                    <w:ind w:firstLine="0" w:firstLineChars="0"/>
                    <w:jc w:val="center"/>
                    <w:rPr>
                      <w:bCs/>
                      <w:color w:val="0000FF"/>
                      <w:sz w:val="21"/>
                      <w:szCs w:val="21"/>
                    </w:rPr>
                  </w:pPr>
                  <w:r>
                    <w:rPr>
                      <w:rFonts w:hint="eastAsia"/>
                      <w:bCs/>
                      <w:sz w:val="21"/>
                      <w:szCs w:val="21"/>
                    </w:rPr>
                    <w:t>无组织，密闭运输、</w:t>
                  </w:r>
                  <w:r>
                    <w:rPr>
                      <w:rFonts w:hint="eastAsia"/>
                      <w:sz w:val="21"/>
                      <w:szCs w:val="21"/>
                    </w:rPr>
                    <w:t>苫布覆盖</w:t>
                  </w:r>
                </w:p>
              </w:tc>
            </w:tr>
            <w:tr w14:paraId="0E80B7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0" w:hRule="atLeast"/>
              </w:trPr>
              <w:tc>
                <w:tcPr>
                  <w:tcW w:w="693" w:type="dxa"/>
                  <w:vMerge w:val="restart"/>
                  <w:tcBorders>
                    <w:tl2br w:val="nil"/>
                    <w:tr2bl w:val="nil"/>
                  </w:tcBorders>
                  <w:vAlign w:val="center"/>
                </w:tcPr>
                <w:p w14:paraId="67BEE4A4">
                  <w:pPr>
                    <w:adjustRightInd w:val="0"/>
                    <w:snapToGrid w:val="0"/>
                    <w:spacing w:line="320" w:lineRule="exact"/>
                    <w:ind w:firstLine="0" w:firstLineChars="0"/>
                    <w:jc w:val="center"/>
                    <w:rPr>
                      <w:bCs/>
                      <w:sz w:val="21"/>
                      <w:szCs w:val="21"/>
                      <w:lang w:bidi="en-US"/>
                    </w:rPr>
                  </w:pPr>
                  <w:r>
                    <w:rPr>
                      <w:bCs/>
                      <w:sz w:val="21"/>
                      <w:szCs w:val="21"/>
                      <w:lang w:bidi="en-US"/>
                    </w:rPr>
                    <w:t>3</w:t>
                  </w:r>
                </w:p>
              </w:tc>
              <w:tc>
                <w:tcPr>
                  <w:tcW w:w="825" w:type="dxa"/>
                  <w:vMerge w:val="restart"/>
                  <w:tcBorders>
                    <w:tl2br w:val="nil"/>
                    <w:tr2bl w:val="nil"/>
                  </w:tcBorders>
                  <w:vAlign w:val="center"/>
                </w:tcPr>
                <w:p w14:paraId="2A7EF926">
                  <w:pPr>
                    <w:adjustRightInd w:val="0"/>
                    <w:snapToGrid w:val="0"/>
                    <w:spacing w:line="320" w:lineRule="exact"/>
                    <w:ind w:firstLine="0" w:firstLineChars="0"/>
                    <w:jc w:val="center"/>
                    <w:rPr>
                      <w:bCs/>
                      <w:sz w:val="21"/>
                      <w:szCs w:val="21"/>
                      <w:lang w:bidi="en-US"/>
                    </w:rPr>
                  </w:pPr>
                  <w:r>
                    <w:rPr>
                      <w:bCs/>
                      <w:sz w:val="21"/>
                      <w:szCs w:val="21"/>
                      <w:lang w:bidi="en-US"/>
                    </w:rPr>
                    <w:t>固废</w:t>
                  </w:r>
                </w:p>
              </w:tc>
              <w:tc>
                <w:tcPr>
                  <w:tcW w:w="2055" w:type="dxa"/>
                  <w:tcBorders>
                    <w:tl2br w:val="nil"/>
                    <w:tr2bl w:val="nil"/>
                  </w:tcBorders>
                  <w:vAlign w:val="center"/>
                </w:tcPr>
                <w:p w14:paraId="7ACB5777">
                  <w:pPr>
                    <w:adjustRightInd w:val="0"/>
                    <w:snapToGrid w:val="0"/>
                    <w:spacing w:line="320" w:lineRule="exact"/>
                    <w:ind w:firstLine="0" w:firstLineChars="0"/>
                    <w:jc w:val="center"/>
                    <w:rPr>
                      <w:bCs/>
                      <w:sz w:val="21"/>
                      <w:szCs w:val="21"/>
                      <w:lang w:bidi="en-US"/>
                    </w:rPr>
                  </w:pPr>
                  <w:r>
                    <w:rPr>
                      <w:rFonts w:hint="eastAsia"/>
                      <w:bCs/>
                      <w:sz w:val="21"/>
                      <w:szCs w:val="21"/>
                      <w:lang w:bidi="en-US"/>
                    </w:rPr>
                    <w:t>投料、出料包装</w:t>
                  </w:r>
                </w:p>
              </w:tc>
              <w:tc>
                <w:tcPr>
                  <w:tcW w:w="1440" w:type="dxa"/>
                  <w:tcBorders>
                    <w:tl2br w:val="nil"/>
                    <w:tr2bl w:val="nil"/>
                  </w:tcBorders>
                  <w:vAlign w:val="center"/>
                </w:tcPr>
                <w:p w14:paraId="0C2C9771">
                  <w:pPr>
                    <w:adjustRightInd w:val="0"/>
                    <w:snapToGrid w:val="0"/>
                    <w:spacing w:line="320" w:lineRule="exact"/>
                    <w:ind w:firstLine="0" w:firstLineChars="0"/>
                    <w:jc w:val="center"/>
                    <w:rPr>
                      <w:bCs/>
                      <w:sz w:val="21"/>
                      <w:szCs w:val="21"/>
                      <w:lang w:eastAsia="en-US" w:bidi="en-US"/>
                    </w:rPr>
                  </w:pPr>
                  <w:r>
                    <w:rPr>
                      <w:bCs/>
                      <w:sz w:val="21"/>
                      <w:szCs w:val="21"/>
                      <w:lang w:bidi="en-US"/>
                    </w:rPr>
                    <w:t>废包装袋</w:t>
                  </w:r>
                </w:p>
              </w:tc>
              <w:tc>
                <w:tcPr>
                  <w:tcW w:w="2848" w:type="dxa"/>
                  <w:tcBorders>
                    <w:tl2br w:val="nil"/>
                    <w:tr2bl w:val="nil"/>
                  </w:tcBorders>
                  <w:vAlign w:val="center"/>
                </w:tcPr>
                <w:p w14:paraId="31B40442">
                  <w:pPr>
                    <w:adjustRightInd w:val="0"/>
                    <w:snapToGrid w:val="0"/>
                    <w:spacing w:line="320" w:lineRule="exact"/>
                    <w:ind w:firstLine="0" w:firstLineChars="0"/>
                    <w:jc w:val="center"/>
                    <w:rPr>
                      <w:bCs/>
                      <w:sz w:val="21"/>
                      <w:szCs w:val="21"/>
                      <w:lang w:bidi="en-US"/>
                    </w:rPr>
                  </w:pPr>
                  <w:r>
                    <w:rPr>
                      <w:bCs/>
                      <w:sz w:val="21"/>
                      <w:szCs w:val="21"/>
                      <w:lang w:bidi="en-US"/>
                    </w:rPr>
                    <w:t>属于一般工业固废，收集后外售给企业综合利用</w:t>
                  </w:r>
                </w:p>
              </w:tc>
            </w:tr>
            <w:tr w14:paraId="4EDB7A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693" w:type="dxa"/>
                  <w:vMerge w:val="continue"/>
                  <w:tcBorders>
                    <w:tl2br w:val="nil"/>
                    <w:tr2bl w:val="nil"/>
                  </w:tcBorders>
                  <w:vAlign w:val="center"/>
                </w:tcPr>
                <w:p w14:paraId="40ADAEC4">
                  <w:pPr>
                    <w:adjustRightInd w:val="0"/>
                    <w:snapToGrid w:val="0"/>
                    <w:spacing w:line="320" w:lineRule="exact"/>
                    <w:ind w:firstLine="0" w:firstLineChars="0"/>
                    <w:jc w:val="center"/>
                    <w:rPr>
                      <w:bCs/>
                      <w:sz w:val="21"/>
                      <w:szCs w:val="21"/>
                      <w:lang w:bidi="en-US"/>
                    </w:rPr>
                  </w:pPr>
                </w:p>
              </w:tc>
              <w:tc>
                <w:tcPr>
                  <w:tcW w:w="825" w:type="dxa"/>
                  <w:vMerge w:val="continue"/>
                  <w:tcBorders>
                    <w:tl2br w:val="nil"/>
                    <w:tr2bl w:val="nil"/>
                  </w:tcBorders>
                  <w:vAlign w:val="center"/>
                </w:tcPr>
                <w:p w14:paraId="6B32E6F6">
                  <w:pPr>
                    <w:adjustRightInd w:val="0"/>
                    <w:snapToGrid w:val="0"/>
                    <w:spacing w:line="320" w:lineRule="exact"/>
                    <w:ind w:firstLine="0" w:firstLineChars="0"/>
                    <w:jc w:val="center"/>
                    <w:rPr>
                      <w:bCs/>
                      <w:sz w:val="21"/>
                      <w:szCs w:val="21"/>
                      <w:lang w:bidi="en-US"/>
                    </w:rPr>
                  </w:pPr>
                </w:p>
              </w:tc>
              <w:tc>
                <w:tcPr>
                  <w:tcW w:w="2055" w:type="dxa"/>
                  <w:tcBorders>
                    <w:tl2br w:val="nil"/>
                    <w:tr2bl w:val="nil"/>
                  </w:tcBorders>
                  <w:vAlign w:val="center"/>
                </w:tcPr>
                <w:p w14:paraId="3739914D">
                  <w:pPr>
                    <w:adjustRightInd w:val="0"/>
                    <w:snapToGrid w:val="0"/>
                    <w:spacing w:line="320" w:lineRule="exact"/>
                    <w:ind w:firstLine="0" w:firstLineChars="0"/>
                    <w:jc w:val="center"/>
                    <w:rPr>
                      <w:bCs/>
                      <w:sz w:val="21"/>
                      <w:szCs w:val="21"/>
                      <w:lang w:eastAsia="en-US" w:bidi="en-US"/>
                    </w:rPr>
                  </w:pPr>
                  <w:r>
                    <w:rPr>
                      <w:bCs/>
                      <w:sz w:val="21"/>
                      <w:szCs w:val="21"/>
                      <w:lang w:bidi="en-US"/>
                    </w:rPr>
                    <w:t>布袋除尘器</w:t>
                  </w:r>
                </w:p>
              </w:tc>
              <w:tc>
                <w:tcPr>
                  <w:tcW w:w="1440" w:type="dxa"/>
                  <w:tcBorders>
                    <w:tl2br w:val="nil"/>
                    <w:tr2bl w:val="nil"/>
                  </w:tcBorders>
                  <w:vAlign w:val="center"/>
                </w:tcPr>
                <w:p w14:paraId="54B3929E">
                  <w:pPr>
                    <w:adjustRightInd w:val="0"/>
                    <w:snapToGrid w:val="0"/>
                    <w:spacing w:line="320" w:lineRule="exact"/>
                    <w:ind w:firstLine="0" w:firstLineChars="0"/>
                    <w:jc w:val="center"/>
                    <w:rPr>
                      <w:bCs/>
                      <w:sz w:val="21"/>
                      <w:szCs w:val="21"/>
                      <w:lang w:eastAsia="en-US" w:bidi="en-US"/>
                    </w:rPr>
                  </w:pPr>
                  <w:r>
                    <w:rPr>
                      <w:bCs/>
                      <w:sz w:val="21"/>
                      <w:szCs w:val="21"/>
                      <w:lang w:bidi="en-US"/>
                    </w:rPr>
                    <w:t>捕集粉尘</w:t>
                  </w:r>
                </w:p>
              </w:tc>
              <w:tc>
                <w:tcPr>
                  <w:tcW w:w="2848" w:type="dxa"/>
                  <w:tcBorders>
                    <w:tl2br w:val="nil"/>
                    <w:tr2bl w:val="nil"/>
                  </w:tcBorders>
                  <w:vAlign w:val="center"/>
                </w:tcPr>
                <w:p w14:paraId="1B8DAECD">
                  <w:pPr>
                    <w:adjustRightInd w:val="0"/>
                    <w:snapToGrid w:val="0"/>
                    <w:spacing w:line="320" w:lineRule="exact"/>
                    <w:ind w:firstLine="0" w:firstLineChars="0"/>
                    <w:jc w:val="center"/>
                    <w:rPr>
                      <w:bCs/>
                      <w:sz w:val="21"/>
                      <w:szCs w:val="21"/>
                      <w:lang w:eastAsia="en-US" w:bidi="en-US"/>
                    </w:rPr>
                  </w:pPr>
                  <w:r>
                    <w:rPr>
                      <w:bCs/>
                      <w:sz w:val="21"/>
                      <w:szCs w:val="21"/>
                      <w:lang w:bidi="en-US"/>
                    </w:rPr>
                    <w:t>回用于生产</w:t>
                  </w:r>
                </w:p>
              </w:tc>
            </w:tr>
            <w:tr w14:paraId="6B73EF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3" w:type="dxa"/>
                  <w:vMerge w:val="continue"/>
                  <w:tcBorders>
                    <w:tl2br w:val="nil"/>
                    <w:tr2bl w:val="nil"/>
                  </w:tcBorders>
                  <w:vAlign w:val="center"/>
                </w:tcPr>
                <w:p w14:paraId="1880CE99">
                  <w:pPr>
                    <w:adjustRightInd w:val="0"/>
                    <w:snapToGrid w:val="0"/>
                    <w:spacing w:line="320" w:lineRule="exact"/>
                    <w:ind w:firstLine="0" w:firstLineChars="0"/>
                    <w:jc w:val="center"/>
                    <w:rPr>
                      <w:bCs/>
                      <w:sz w:val="21"/>
                      <w:szCs w:val="21"/>
                      <w:lang w:bidi="en-US"/>
                    </w:rPr>
                  </w:pPr>
                </w:p>
              </w:tc>
              <w:tc>
                <w:tcPr>
                  <w:tcW w:w="825" w:type="dxa"/>
                  <w:vMerge w:val="continue"/>
                  <w:tcBorders>
                    <w:tl2br w:val="nil"/>
                    <w:tr2bl w:val="nil"/>
                  </w:tcBorders>
                  <w:vAlign w:val="center"/>
                </w:tcPr>
                <w:p w14:paraId="3040E46D">
                  <w:pPr>
                    <w:adjustRightInd w:val="0"/>
                    <w:snapToGrid w:val="0"/>
                    <w:spacing w:line="320" w:lineRule="exact"/>
                    <w:ind w:firstLine="0" w:firstLineChars="0"/>
                    <w:jc w:val="center"/>
                    <w:rPr>
                      <w:bCs/>
                      <w:sz w:val="21"/>
                      <w:szCs w:val="21"/>
                      <w:lang w:bidi="en-US"/>
                    </w:rPr>
                  </w:pPr>
                </w:p>
              </w:tc>
              <w:tc>
                <w:tcPr>
                  <w:tcW w:w="2055" w:type="dxa"/>
                  <w:tcBorders>
                    <w:tl2br w:val="nil"/>
                    <w:tr2bl w:val="nil"/>
                  </w:tcBorders>
                  <w:vAlign w:val="center"/>
                </w:tcPr>
                <w:p w14:paraId="082FDE66">
                  <w:pPr>
                    <w:adjustRightInd w:val="0"/>
                    <w:snapToGrid w:val="0"/>
                    <w:spacing w:line="320" w:lineRule="exact"/>
                    <w:ind w:firstLine="0" w:firstLineChars="0"/>
                    <w:jc w:val="center"/>
                    <w:rPr>
                      <w:bCs/>
                      <w:sz w:val="21"/>
                      <w:szCs w:val="21"/>
                      <w:lang w:eastAsia="en-US" w:bidi="en-US"/>
                    </w:rPr>
                  </w:pPr>
                  <w:r>
                    <w:rPr>
                      <w:bCs/>
                      <w:sz w:val="21"/>
                      <w:szCs w:val="21"/>
                      <w:lang w:bidi="en-US"/>
                    </w:rPr>
                    <w:t>职工生活垃圾</w:t>
                  </w:r>
                </w:p>
              </w:tc>
              <w:tc>
                <w:tcPr>
                  <w:tcW w:w="1440" w:type="dxa"/>
                  <w:tcBorders>
                    <w:tl2br w:val="nil"/>
                    <w:tr2bl w:val="nil"/>
                  </w:tcBorders>
                  <w:vAlign w:val="center"/>
                </w:tcPr>
                <w:p w14:paraId="522ECCA4">
                  <w:pPr>
                    <w:adjustRightInd w:val="0"/>
                    <w:snapToGrid w:val="0"/>
                    <w:spacing w:line="320" w:lineRule="exact"/>
                    <w:ind w:firstLine="0" w:firstLineChars="0"/>
                    <w:jc w:val="center"/>
                    <w:rPr>
                      <w:bCs/>
                      <w:sz w:val="21"/>
                      <w:szCs w:val="21"/>
                      <w:lang w:eastAsia="en-US" w:bidi="en-US"/>
                    </w:rPr>
                  </w:pPr>
                  <w:r>
                    <w:rPr>
                      <w:bCs/>
                      <w:sz w:val="21"/>
                      <w:szCs w:val="21"/>
                      <w:lang w:bidi="en-US"/>
                    </w:rPr>
                    <w:t>纸屑、塑料等</w:t>
                  </w:r>
                </w:p>
              </w:tc>
              <w:tc>
                <w:tcPr>
                  <w:tcW w:w="2848" w:type="dxa"/>
                  <w:tcBorders>
                    <w:tl2br w:val="nil"/>
                    <w:tr2bl w:val="nil"/>
                  </w:tcBorders>
                  <w:vAlign w:val="center"/>
                </w:tcPr>
                <w:p w14:paraId="34CD9ADD">
                  <w:pPr>
                    <w:adjustRightInd w:val="0"/>
                    <w:snapToGrid w:val="0"/>
                    <w:spacing w:line="320" w:lineRule="exact"/>
                    <w:ind w:firstLine="0" w:firstLineChars="0"/>
                    <w:jc w:val="center"/>
                    <w:rPr>
                      <w:bCs/>
                      <w:sz w:val="21"/>
                      <w:szCs w:val="21"/>
                      <w:lang w:bidi="en-US"/>
                    </w:rPr>
                  </w:pPr>
                  <w:r>
                    <w:rPr>
                      <w:bCs/>
                      <w:sz w:val="21"/>
                      <w:szCs w:val="21"/>
                      <w:lang w:bidi="en-US"/>
                    </w:rPr>
                    <w:t>分类收集后由环卫部门每日清运</w:t>
                  </w:r>
                </w:p>
              </w:tc>
            </w:tr>
            <w:tr w14:paraId="6CB99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3" w:type="dxa"/>
                  <w:tcBorders>
                    <w:tl2br w:val="nil"/>
                    <w:tr2bl w:val="nil"/>
                  </w:tcBorders>
                  <w:vAlign w:val="center"/>
                </w:tcPr>
                <w:p w14:paraId="3C69E01B">
                  <w:pPr>
                    <w:adjustRightInd w:val="0"/>
                    <w:snapToGrid w:val="0"/>
                    <w:spacing w:line="320" w:lineRule="exact"/>
                    <w:ind w:firstLine="0" w:firstLineChars="0"/>
                    <w:jc w:val="center"/>
                    <w:rPr>
                      <w:bCs/>
                      <w:sz w:val="21"/>
                      <w:szCs w:val="21"/>
                      <w:lang w:bidi="en-US"/>
                    </w:rPr>
                  </w:pPr>
                  <w:r>
                    <w:rPr>
                      <w:bCs/>
                      <w:sz w:val="21"/>
                      <w:szCs w:val="21"/>
                      <w:lang w:bidi="en-US"/>
                    </w:rPr>
                    <w:t>4</w:t>
                  </w:r>
                </w:p>
              </w:tc>
              <w:tc>
                <w:tcPr>
                  <w:tcW w:w="825" w:type="dxa"/>
                  <w:tcBorders>
                    <w:tl2br w:val="nil"/>
                    <w:tr2bl w:val="nil"/>
                  </w:tcBorders>
                  <w:vAlign w:val="center"/>
                </w:tcPr>
                <w:p w14:paraId="1A5EC5B7">
                  <w:pPr>
                    <w:adjustRightInd w:val="0"/>
                    <w:snapToGrid w:val="0"/>
                    <w:spacing w:line="320" w:lineRule="exact"/>
                    <w:ind w:firstLine="0" w:firstLineChars="0"/>
                    <w:jc w:val="center"/>
                    <w:rPr>
                      <w:bCs/>
                      <w:sz w:val="21"/>
                      <w:szCs w:val="21"/>
                      <w:lang w:bidi="en-US"/>
                    </w:rPr>
                  </w:pPr>
                  <w:r>
                    <w:rPr>
                      <w:bCs/>
                      <w:sz w:val="21"/>
                      <w:szCs w:val="21"/>
                      <w:lang w:bidi="en-US"/>
                    </w:rPr>
                    <w:t>噪声</w:t>
                  </w:r>
                </w:p>
              </w:tc>
              <w:tc>
                <w:tcPr>
                  <w:tcW w:w="2055" w:type="dxa"/>
                  <w:tcBorders>
                    <w:tl2br w:val="nil"/>
                    <w:tr2bl w:val="nil"/>
                  </w:tcBorders>
                  <w:vAlign w:val="center"/>
                </w:tcPr>
                <w:p w14:paraId="0A14E32B">
                  <w:pPr>
                    <w:adjustRightInd w:val="0"/>
                    <w:snapToGrid w:val="0"/>
                    <w:spacing w:line="320" w:lineRule="exact"/>
                    <w:ind w:firstLine="0" w:firstLineChars="0"/>
                    <w:jc w:val="center"/>
                    <w:rPr>
                      <w:bCs/>
                      <w:sz w:val="21"/>
                      <w:szCs w:val="21"/>
                      <w:lang w:bidi="en-US"/>
                    </w:rPr>
                  </w:pPr>
                  <w:r>
                    <w:rPr>
                      <w:bCs/>
                      <w:sz w:val="21"/>
                      <w:szCs w:val="21"/>
                      <w:lang w:bidi="en-US"/>
                    </w:rPr>
                    <w:t>生产设备</w:t>
                  </w:r>
                  <w:r>
                    <w:rPr>
                      <w:rFonts w:hint="eastAsia"/>
                      <w:bCs/>
                      <w:sz w:val="21"/>
                      <w:szCs w:val="21"/>
                      <w:lang w:bidi="en-US"/>
                    </w:rPr>
                    <w:t>、车辆运输</w:t>
                  </w:r>
                </w:p>
              </w:tc>
              <w:tc>
                <w:tcPr>
                  <w:tcW w:w="1440" w:type="dxa"/>
                  <w:tcBorders>
                    <w:tl2br w:val="nil"/>
                    <w:tr2bl w:val="nil"/>
                  </w:tcBorders>
                  <w:vAlign w:val="center"/>
                </w:tcPr>
                <w:p w14:paraId="260EB9CF">
                  <w:pPr>
                    <w:adjustRightInd w:val="0"/>
                    <w:snapToGrid w:val="0"/>
                    <w:spacing w:line="320" w:lineRule="exact"/>
                    <w:ind w:firstLine="0" w:firstLineChars="0"/>
                    <w:jc w:val="center"/>
                    <w:rPr>
                      <w:bCs/>
                      <w:sz w:val="21"/>
                      <w:szCs w:val="21"/>
                      <w:lang w:eastAsia="en-US" w:bidi="en-US"/>
                    </w:rPr>
                  </w:pPr>
                  <w:r>
                    <w:rPr>
                      <w:bCs/>
                      <w:sz w:val="21"/>
                      <w:szCs w:val="21"/>
                      <w:lang w:bidi="en-US"/>
                    </w:rPr>
                    <w:t>Leq</w:t>
                  </w:r>
                </w:p>
              </w:tc>
              <w:tc>
                <w:tcPr>
                  <w:tcW w:w="2848" w:type="dxa"/>
                  <w:tcBorders>
                    <w:tl2br w:val="nil"/>
                    <w:tr2bl w:val="nil"/>
                  </w:tcBorders>
                  <w:vAlign w:val="center"/>
                </w:tcPr>
                <w:p w14:paraId="6D71CD99">
                  <w:pPr>
                    <w:adjustRightInd w:val="0"/>
                    <w:snapToGrid w:val="0"/>
                    <w:spacing w:line="320" w:lineRule="exact"/>
                    <w:ind w:firstLine="0" w:firstLineChars="0"/>
                    <w:jc w:val="center"/>
                    <w:rPr>
                      <w:bCs/>
                      <w:sz w:val="21"/>
                      <w:szCs w:val="21"/>
                      <w:lang w:bidi="en-US"/>
                    </w:rPr>
                  </w:pPr>
                  <w:r>
                    <w:rPr>
                      <w:bCs/>
                      <w:sz w:val="21"/>
                      <w:szCs w:val="21"/>
                      <w:lang w:bidi="en-US"/>
                    </w:rPr>
                    <w:t>厂房隔声、设备基础减振等综合降噪措施</w:t>
                  </w:r>
                </w:p>
              </w:tc>
            </w:tr>
          </w:tbl>
          <w:p w14:paraId="2F1FC583">
            <w:pPr>
              <w:ind w:firstLine="0" w:firstLineChars="0"/>
            </w:pPr>
          </w:p>
        </w:tc>
      </w:tr>
      <w:tr w14:paraId="107224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434" w:type="pct"/>
            <w:vAlign w:val="center"/>
          </w:tcPr>
          <w:p w14:paraId="75DDE377">
            <w:pPr>
              <w:spacing w:line="240" w:lineRule="auto"/>
              <w:ind w:firstLine="0" w:firstLineChars="0"/>
              <w:jc w:val="center"/>
            </w:pPr>
            <w:r>
              <w:t>与项目有关的原有环境污染问题</w:t>
            </w:r>
          </w:p>
        </w:tc>
        <w:tc>
          <w:tcPr>
            <w:tcW w:w="4565" w:type="pct"/>
            <w:vAlign w:val="center"/>
          </w:tcPr>
          <w:p w14:paraId="75DB2226">
            <w:pPr>
              <w:ind w:firstLine="0" w:firstLineChars="0"/>
              <w:jc w:val="center"/>
            </w:pPr>
            <w:r>
              <w:rPr>
                <w:rFonts w:hint="eastAsia"/>
              </w:rPr>
              <w:t>无</w:t>
            </w:r>
          </w:p>
        </w:tc>
      </w:tr>
    </w:tbl>
    <w:p w14:paraId="5403431C">
      <w:pPr>
        <w:jc w:val="center"/>
        <w:rPr>
          <w:rFonts w:eastAsia="黑体"/>
          <w:snapToGrid w:val="0"/>
          <w:sz w:val="36"/>
          <w:szCs w:val="36"/>
        </w:rPr>
        <w:sectPr>
          <w:pgSz w:w="11906" w:h="16838"/>
          <w:pgMar w:top="1701" w:right="1531" w:bottom="1701" w:left="1531" w:header="851" w:footer="851" w:gutter="0"/>
          <w:cols w:space="720" w:num="1"/>
          <w:docGrid w:linePitch="312" w:charSpace="0"/>
        </w:sectPr>
      </w:pPr>
    </w:p>
    <w:p w14:paraId="3B2B95FF">
      <w:pPr>
        <w:keepNext/>
        <w:overflowPunct w:val="0"/>
        <w:ind w:firstLine="0" w:firstLineChars="0"/>
        <w:jc w:val="center"/>
        <w:outlineLvl w:val="0"/>
        <w:rPr>
          <w:b/>
          <w:bCs/>
          <w:kern w:val="44"/>
          <w:sz w:val="32"/>
          <w:szCs w:val="30"/>
        </w:rPr>
      </w:pPr>
      <w:bookmarkStart w:id="15" w:name="_Toc23087"/>
      <w:bookmarkStart w:id="16" w:name="_Toc4467"/>
      <w:r>
        <w:rPr>
          <w:b/>
          <w:bCs/>
          <w:kern w:val="44"/>
          <w:sz w:val="32"/>
          <w:szCs w:val="30"/>
        </w:rPr>
        <w:t>三、区域环境质量现状、环境保护目标及评价标准</w:t>
      </w:r>
      <w:bookmarkEnd w:id="15"/>
      <w:bookmarkEnd w:id="16"/>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6"/>
        <w:gridCol w:w="8491"/>
      </w:tblGrid>
      <w:tr w14:paraId="57D1BE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6" w:type="dxa"/>
            <w:vAlign w:val="center"/>
          </w:tcPr>
          <w:p w14:paraId="0962136B">
            <w:pPr>
              <w:widowControl/>
              <w:adjustRightInd w:val="0"/>
              <w:snapToGrid w:val="0"/>
              <w:ind w:firstLine="0" w:firstLineChars="0"/>
              <w:jc w:val="center"/>
            </w:pPr>
            <w:r>
              <w:t>区域</w:t>
            </w:r>
          </w:p>
          <w:p w14:paraId="612A8722">
            <w:pPr>
              <w:widowControl/>
              <w:adjustRightInd w:val="0"/>
              <w:snapToGrid w:val="0"/>
              <w:ind w:firstLine="0" w:firstLineChars="0"/>
              <w:jc w:val="center"/>
            </w:pPr>
            <w:r>
              <w:t>环境</w:t>
            </w:r>
          </w:p>
          <w:p w14:paraId="51872D2C">
            <w:pPr>
              <w:widowControl/>
              <w:adjustRightInd w:val="0"/>
              <w:snapToGrid w:val="0"/>
              <w:ind w:firstLine="0" w:firstLineChars="0"/>
              <w:jc w:val="center"/>
            </w:pPr>
            <w:r>
              <w:t>质量</w:t>
            </w:r>
          </w:p>
          <w:p w14:paraId="616CCBAC">
            <w:pPr>
              <w:widowControl/>
              <w:adjustRightInd w:val="0"/>
              <w:snapToGrid w:val="0"/>
              <w:ind w:firstLine="0" w:firstLineChars="0"/>
              <w:jc w:val="center"/>
            </w:pPr>
            <w:r>
              <w:t>现状</w:t>
            </w:r>
          </w:p>
        </w:tc>
        <w:tc>
          <w:tcPr>
            <w:tcW w:w="8491" w:type="dxa"/>
            <w:vAlign w:val="center"/>
          </w:tcPr>
          <w:p w14:paraId="07F28553">
            <w:pPr>
              <w:keepNext/>
              <w:keepLines/>
              <w:ind w:firstLine="0" w:firstLineChars="0"/>
              <w:jc w:val="left"/>
              <w:outlineLvl w:val="1"/>
              <w:rPr>
                <w:b/>
                <w:bCs/>
                <w:sz w:val="30"/>
                <w:szCs w:val="32"/>
              </w:rPr>
            </w:pPr>
            <w:r>
              <w:rPr>
                <w:b/>
                <w:bCs/>
                <w:sz w:val="30"/>
                <w:szCs w:val="32"/>
              </w:rPr>
              <w:t>3.1大气环境质量现状</w:t>
            </w:r>
          </w:p>
          <w:p w14:paraId="57EAF9B9">
            <w:pPr>
              <w:keepNext/>
              <w:keepLines/>
              <w:ind w:firstLine="0" w:firstLineChars="0"/>
              <w:jc w:val="left"/>
              <w:outlineLvl w:val="2"/>
              <w:rPr>
                <w:b/>
                <w:bCs/>
                <w:sz w:val="28"/>
                <w:szCs w:val="32"/>
              </w:rPr>
            </w:pPr>
            <w:r>
              <w:rPr>
                <w:b/>
                <w:bCs/>
                <w:sz w:val="28"/>
                <w:szCs w:val="32"/>
              </w:rPr>
              <w:t>3.1.1环境空气质量功能区划</w:t>
            </w:r>
          </w:p>
          <w:p w14:paraId="4A3D148C">
            <w:pPr>
              <w:ind w:firstLine="480"/>
            </w:pPr>
            <w:bookmarkStart w:id="17" w:name="_Toc339964236"/>
            <w:bookmarkStart w:id="18" w:name="_Toc338850492"/>
            <w:r>
              <w:rPr>
                <w:rFonts w:hint="eastAsia" w:ascii="宋体" w:hAnsi="宋体" w:cs="宋体"/>
              </w:rPr>
              <w:t>项目位于福建省</w:t>
            </w:r>
            <w:r>
              <w:rPr>
                <w:rFonts w:hint="eastAsia"/>
              </w:rPr>
              <w:t>福州市闽侯县甘蔗街道陈店湖路18号</w:t>
            </w:r>
            <w:r>
              <w:rPr>
                <w:rFonts w:hint="eastAsia" w:ascii="宋体" w:hAnsi="宋体" w:cs="宋体"/>
              </w:rPr>
              <w:t>，</w:t>
            </w:r>
            <w:r>
              <w:rPr>
                <w:szCs w:val="22"/>
              </w:rPr>
              <w:t>根据福州市人民政府文件榕政综</w:t>
            </w:r>
            <w:r>
              <w:rPr>
                <w:rFonts w:hint="eastAsia"/>
              </w:rPr>
              <w:t>〔2014〕</w:t>
            </w:r>
            <w:r>
              <w:rPr>
                <w:szCs w:val="22"/>
              </w:rPr>
              <w:t>30号批准《福州市环境空气质量功能区划》，</w:t>
            </w:r>
            <w:r>
              <w:rPr>
                <w:bCs/>
                <w:szCs w:val="22"/>
              </w:rPr>
              <w:t>项目所在区域为二类环境空气质量功能区，环境空气质量执行《环境空气质量标准》（GB3095-20</w:t>
            </w:r>
            <w:r>
              <w:rPr>
                <w:rFonts w:hint="eastAsia"/>
                <w:bCs/>
                <w:szCs w:val="22"/>
                <w:lang w:val="en-US" w:eastAsia="zh-CN"/>
              </w:rPr>
              <w:t>26</w:t>
            </w:r>
            <w:r>
              <w:rPr>
                <w:bCs/>
                <w:szCs w:val="22"/>
              </w:rPr>
              <w:t>）中二级浓度限值</w:t>
            </w:r>
            <w:r>
              <w:t>。</w:t>
            </w:r>
          </w:p>
          <w:bookmarkEnd w:id="17"/>
          <w:bookmarkEnd w:id="18"/>
          <w:p w14:paraId="359448FB">
            <w:pPr>
              <w:spacing w:before="120" w:beforeLines="50" w:line="240" w:lineRule="auto"/>
              <w:ind w:firstLine="0" w:firstLineChars="0"/>
              <w:jc w:val="center"/>
              <w:rPr>
                <w:b/>
              </w:rPr>
            </w:pPr>
            <w:r>
              <w:rPr>
                <w:rFonts w:hint="eastAsia"/>
                <w:b/>
              </w:rPr>
              <w:t>表3.1-1  本项目环境空气标准一览表</w:t>
            </w:r>
          </w:p>
          <w:tbl>
            <w:tblPr>
              <w:tblStyle w:val="30"/>
              <w:tblW w:w="8164"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1375"/>
              <w:gridCol w:w="2051"/>
              <w:gridCol w:w="1348"/>
              <w:gridCol w:w="3390"/>
            </w:tblGrid>
            <w:tr w14:paraId="1CB9371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Align w:val="center"/>
                </w:tcPr>
                <w:p w14:paraId="4F63FA36">
                  <w:pPr>
                    <w:adjustRightInd w:val="0"/>
                    <w:snapToGrid w:val="0"/>
                    <w:spacing w:line="320" w:lineRule="exact"/>
                    <w:ind w:firstLine="0" w:firstLineChars="0"/>
                    <w:jc w:val="center"/>
                    <w:rPr>
                      <w:b/>
                      <w:sz w:val="21"/>
                      <w:szCs w:val="21"/>
                      <w:lang w:bidi="en-US"/>
                    </w:rPr>
                  </w:pPr>
                  <w:r>
                    <w:rPr>
                      <w:b/>
                      <w:sz w:val="21"/>
                      <w:szCs w:val="21"/>
                      <w:lang w:bidi="en-US"/>
                    </w:rPr>
                    <w:t>污染物名称</w:t>
                  </w:r>
                </w:p>
              </w:tc>
              <w:tc>
                <w:tcPr>
                  <w:tcW w:w="2051" w:type="dxa"/>
                  <w:vAlign w:val="center"/>
                </w:tcPr>
                <w:p w14:paraId="2ED09D21">
                  <w:pPr>
                    <w:adjustRightInd w:val="0"/>
                    <w:snapToGrid w:val="0"/>
                    <w:spacing w:line="320" w:lineRule="exact"/>
                    <w:ind w:firstLine="0" w:firstLineChars="0"/>
                    <w:jc w:val="center"/>
                    <w:rPr>
                      <w:b/>
                      <w:sz w:val="21"/>
                      <w:szCs w:val="21"/>
                      <w:lang w:bidi="en-US"/>
                    </w:rPr>
                  </w:pPr>
                  <w:r>
                    <w:rPr>
                      <w:b/>
                      <w:sz w:val="21"/>
                      <w:szCs w:val="21"/>
                      <w:lang w:bidi="en-US"/>
                    </w:rPr>
                    <w:t>取值时间</w:t>
                  </w:r>
                </w:p>
              </w:tc>
              <w:tc>
                <w:tcPr>
                  <w:tcW w:w="1348" w:type="dxa"/>
                  <w:vAlign w:val="center"/>
                </w:tcPr>
                <w:p w14:paraId="57969A30">
                  <w:pPr>
                    <w:adjustRightInd w:val="0"/>
                    <w:snapToGrid w:val="0"/>
                    <w:spacing w:line="320" w:lineRule="exact"/>
                    <w:ind w:firstLine="0" w:firstLineChars="0"/>
                    <w:jc w:val="center"/>
                    <w:rPr>
                      <w:b/>
                      <w:sz w:val="21"/>
                      <w:szCs w:val="21"/>
                      <w:lang w:bidi="en-US"/>
                    </w:rPr>
                  </w:pPr>
                  <w:r>
                    <w:rPr>
                      <w:b/>
                      <w:sz w:val="21"/>
                      <w:szCs w:val="21"/>
                      <w:lang w:bidi="en-US"/>
                    </w:rPr>
                    <w:t>浓度限值</w:t>
                  </w:r>
                </w:p>
              </w:tc>
              <w:tc>
                <w:tcPr>
                  <w:tcW w:w="3390" w:type="dxa"/>
                  <w:vAlign w:val="center"/>
                </w:tcPr>
                <w:p w14:paraId="4EB36524">
                  <w:pPr>
                    <w:adjustRightInd w:val="0"/>
                    <w:snapToGrid w:val="0"/>
                    <w:spacing w:line="320" w:lineRule="exact"/>
                    <w:ind w:firstLine="0" w:firstLineChars="0"/>
                    <w:jc w:val="center"/>
                    <w:rPr>
                      <w:b/>
                      <w:sz w:val="21"/>
                      <w:szCs w:val="21"/>
                      <w:lang w:bidi="en-US"/>
                    </w:rPr>
                  </w:pPr>
                  <w:r>
                    <w:rPr>
                      <w:b/>
                      <w:sz w:val="21"/>
                      <w:szCs w:val="21"/>
                      <w:lang w:bidi="en-US"/>
                    </w:rPr>
                    <w:t>标准来源</w:t>
                  </w:r>
                </w:p>
              </w:tc>
            </w:tr>
            <w:tr w14:paraId="0E31D31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restart"/>
                  <w:vAlign w:val="center"/>
                </w:tcPr>
                <w:p w14:paraId="74EA1E7B">
                  <w:pPr>
                    <w:adjustRightInd w:val="0"/>
                    <w:snapToGrid w:val="0"/>
                    <w:spacing w:line="320" w:lineRule="exact"/>
                    <w:ind w:firstLine="0" w:firstLineChars="0"/>
                    <w:jc w:val="center"/>
                    <w:rPr>
                      <w:bCs/>
                      <w:sz w:val="21"/>
                      <w:szCs w:val="21"/>
                      <w:lang w:bidi="en-US"/>
                    </w:rPr>
                  </w:pPr>
                  <w:r>
                    <w:rPr>
                      <w:bCs/>
                      <w:sz w:val="21"/>
                      <w:szCs w:val="21"/>
                      <w:lang w:bidi="en-US"/>
                    </w:rPr>
                    <w:t>PM</w:t>
                  </w:r>
                  <w:r>
                    <w:rPr>
                      <w:bCs/>
                      <w:sz w:val="21"/>
                      <w:szCs w:val="21"/>
                      <w:vertAlign w:val="subscript"/>
                      <w:lang w:bidi="en-US"/>
                    </w:rPr>
                    <w:t>10</w:t>
                  </w:r>
                </w:p>
              </w:tc>
              <w:tc>
                <w:tcPr>
                  <w:tcW w:w="2051" w:type="dxa"/>
                  <w:vAlign w:val="center"/>
                </w:tcPr>
                <w:p w14:paraId="6E2CE4DA">
                  <w:pPr>
                    <w:adjustRightInd w:val="0"/>
                    <w:snapToGrid w:val="0"/>
                    <w:spacing w:line="320" w:lineRule="exact"/>
                    <w:ind w:firstLine="0" w:firstLineChars="0"/>
                    <w:jc w:val="center"/>
                    <w:rPr>
                      <w:bCs/>
                      <w:sz w:val="21"/>
                      <w:szCs w:val="21"/>
                      <w:lang w:bidi="en-US"/>
                    </w:rPr>
                  </w:pPr>
                  <w:r>
                    <w:rPr>
                      <w:bCs/>
                      <w:sz w:val="21"/>
                      <w:szCs w:val="21"/>
                      <w:lang w:bidi="en-US"/>
                    </w:rPr>
                    <w:t>年平均</w:t>
                  </w:r>
                </w:p>
              </w:tc>
              <w:tc>
                <w:tcPr>
                  <w:tcW w:w="1348" w:type="dxa"/>
                  <w:vAlign w:val="center"/>
                </w:tcPr>
                <w:p w14:paraId="1BC4C251">
                  <w:pPr>
                    <w:adjustRightInd w:val="0"/>
                    <w:snapToGrid w:val="0"/>
                    <w:spacing w:line="320" w:lineRule="exact"/>
                    <w:ind w:firstLine="0" w:firstLineChars="0"/>
                    <w:jc w:val="center"/>
                    <w:rPr>
                      <w:bCs/>
                      <w:sz w:val="21"/>
                      <w:szCs w:val="21"/>
                      <w:lang w:bidi="en-US"/>
                    </w:rPr>
                  </w:pPr>
                  <w:r>
                    <w:rPr>
                      <w:rFonts w:hint="eastAsia"/>
                      <w:bCs/>
                      <w:sz w:val="21"/>
                      <w:szCs w:val="21"/>
                      <w:lang w:val="en-US" w:eastAsia="zh-CN" w:bidi="en-US"/>
                    </w:rPr>
                    <w:t>60</w:t>
                  </w:r>
                  <w:r>
                    <w:rPr>
                      <w:bCs/>
                      <w:sz w:val="21"/>
                      <w:szCs w:val="21"/>
                      <w:lang w:bidi="en-US"/>
                    </w:rPr>
                    <w:t>μg/m</w:t>
                  </w:r>
                  <w:r>
                    <w:rPr>
                      <w:bCs/>
                      <w:sz w:val="21"/>
                      <w:szCs w:val="21"/>
                      <w:vertAlign w:val="superscript"/>
                      <w:lang w:bidi="en-US"/>
                    </w:rPr>
                    <w:t>3</w:t>
                  </w:r>
                </w:p>
              </w:tc>
              <w:tc>
                <w:tcPr>
                  <w:tcW w:w="3390" w:type="dxa"/>
                  <w:vMerge w:val="restart"/>
                  <w:vAlign w:val="center"/>
                </w:tcPr>
                <w:p w14:paraId="11F5396D">
                  <w:pPr>
                    <w:adjustRightInd w:val="0"/>
                    <w:snapToGrid w:val="0"/>
                    <w:spacing w:line="320" w:lineRule="exact"/>
                    <w:ind w:firstLine="0" w:firstLineChars="0"/>
                    <w:jc w:val="center"/>
                    <w:rPr>
                      <w:bCs/>
                      <w:sz w:val="21"/>
                      <w:szCs w:val="21"/>
                      <w:lang w:bidi="en-US"/>
                    </w:rPr>
                  </w:pPr>
                  <w:r>
                    <w:rPr>
                      <w:bCs/>
                      <w:sz w:val="21"/>
                      <w:szCs w:val="21"/>
                      <w:lang w:bidi="en-US"/>
                    </w:rPr>
                    <w:t>《环境空气质量标准》</w:t>
                  </w:r>
                  <w:r>
                    <w:rPr>
                      <w:rFonts w:hint="eastAsia"/>
                      <w:bCs/>
                      <w:sz w:val="21"/>
                      <w:szCs w:val="21"/>
                      <w:lang w:bidi="en-US"/>
                    </w:rPr>
                    <w:t>（</w:t>
                  </w:r>
                  <w:r>
                    <w:rPr>
                      <w:bCs/>
                      <w:sz w:val="21"/>
                      <w:szCs w:val="21"/>
                      <w:lang w:bidi="en-US"/>
                    </w:rPr>
                    <w:t>GB3095-20</w:t>
                  </w:r>
                  <w:r>
                    <w:rPr>
                      <w:rFonts w:hint="eastAsia"/>
                      <w:bCs/>
                      <w:sz w:val="21"/>
                      <w:szCs w:val="21"/>
                      <w:lang w:val="en-US" w:eastAsia="zh-CN" w:bidi="en-US"/>
                    </w:rPr>
                    <w:t>26</w:t>
                  </w:r>
                  <w:r>
                    <w:rPr>
                      <w:rFonts w:hint="eastAsia"/>
                      <w:bCs/>
                      <w:sz w:val="21"/>
                      <w:szCs w:val="21"/>
                      <w:lang w:bidi="en-US"/>
                    </w:rPr>
                    <w:t>）</w:t>
                  </w:r>
                  <w:r>
                    <w:rPr>
                      <w:bCs/>
                      <w:sz w:val="21"/>
                      <w:szCs w:val="21"/>
                      <w:lang w:bidi="en-US"/>
                    </w:rPr>
                    <w:t>中的二级标准</w:t>
                  </w:r>
                </w:p>
              </w:tc>
            </w:tr>
            <w:tr w14:paraId="75B22BF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continue"/>
                  <w:vAlign w:val="center"/>
                </w:tcPr>
                <w:p w14:paraId="4FB6623F">
                  <w:pPr>
                    <w:adjustRightInd w:val="0"/>
                    <w:snapToGrid w:val="0"/>
                    <w:spacing w:line="320" w:lineRule="exact"/>
                    <w:ind w:firstLine="0" w:firstLineChars="0"/>
                    <w:jc w:val="center"/>
                    <w:rPr>
                      <w:bCs/>
                      <w:sz w:val="21"/>
                      <w:szCs w:val="21"/>
                      <w:lang w:bidi="en-US"/>
                    </w:rPr>
                  </w:pPr>
                </w:p>
              </w:tc>
              <w:tc>
                <w:tcPr>
                  <w:tcW w:w="2051" w:type="dxa"/>
                  <w:vAlign w:val="center"/>
                </w:tcPr>
                <w:p w14:paraId="782D2DC6">
                  <w:pPr>
                    <w:adjustRightInd w:val="0"/>
                    <w:snapToGrid w:val="0"/>
                    <w:spacing w:line="320" w:lineRule="exact"/>
                    <w:ind w:firstLine="0" w:firstLineChars="0"/>
                    <w:jc w:val="center"/>
                    <w:rPr>
                      <w:bCs/>
                      <w:sz w:val="21"/>
                      <w:szCs w:val="21"/>
                      <w:lang w:bidi="en-US"/>
                    </w:rPr>
                  </w:pPr>
                  <w:r>
                    <w:rPr>
                      <w:bCs/>
                      <w:sz w:val="21"/>
                      <w:szCs w:val="21"/>
                      <w:lang w:bidi="en-US"/>
                    </w:rPr>
                    <w:t>24小时平均</w:t>
                  </w:r>
                </w:p>
              </w:tc>
              <w:tc>
                <w:tcPr>
                  <w:tcW w:w="1348" w:type="dxa"/>
                  <w:vAlign w:val="center"/>
                </w:tcPr>
                <w:p w14:paraId="496E6DEB">
                  <w:pPr>
                    <w:adjustRightInd w:val="0"/>
                    <w:snapToGrid w:val="0"/>
                    <w:spacing w:line="320" w:lineRule="exact"/>
                    <w:ind w:firstLine="0" w:firstLineChars="0"/>
                    <w:jc w:val="center"/>
                    <w:rPr>
                      <w:bCs/>
                      <w:sz w:val="21"/>
                      <w:szCs w:val="21"/>
                      <w:lang w:bidi="en-US"/>
                    </w:rPr>
                  </w:pPr>
                  <w:r>
                    <w:rPr>
                      <w:rFonts w:hint="eastAsia"/>
                      <w:bCs/>
                      <w:sz w:val="21"/>
                      <w:szCs w:val="21"/>
                      <w:lang w:val="en-US" w:eastAsia="zh-CN" w:bidi="en-US"/>
                    </w:rPr>
                    <w:t>120</w:t>
                  </w:r>
                  <w:r>
                    <w:rPr>
                      <w:bCs/>
                      <w:sz w:val="21"/>
                      <w:szCs w:val="21"/>
                      <w:lang w:bidi="en-US"/>
                    </w:rPr>
                    <w:t>μg/m</w:t>
                  </w:r>
                  <w:r>
                    <w:rPr>
                      <w:bCs/>
                      <w:sz w:val="21"/>
                      <w:szCs w:val="21"/>
                      <w:vertAlign w:val="superscript"/>
                      <w:lang w:bidi="en-US"/>
                    </w:rPr>
                    <w:t>3</w:t>
                  </w:r>
                </w:p>
              </w:tc>
              <w:tc>
                <w:tcPr>
                  <w:tcW w:w="3390" w:type="dxa"/>
                  <w:vMerge w:val="continue"/>
                  <w:vAlign w:val="center"/>
                </w:tcPr>
                <w:p w14:paraId="1E8C2A76">
                  <w:pPr>
                    <w:adjustRightInd w:val="0"/>
                    <w:snapToGrid w:val="0"/>
                    <w:spacing w:line="320" w:lineRule="exact"/>
                    <w:ind w:firstLine="420"/>
                    <w:jc w:val="center"/>
                    <w:rPr>
                      <w:bCs/>
                      <w:sz w:val="21"/>
                      <w:szCs w:val="21"/>
                      <w:lang w:bidi="en-US"/>
                    </w:rPr>
                  </w:pPr>
                </w:p>
              </w:tc>
            </w:tr>
            <w:tr w14:paraId="721BC1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restart"/>
                  <w:vAlign w:val="center"/>
                </w:tcPr>
                <w:p w14:paraId="78A00316">
                  <w:pPr>
                    <w:adjustRightInd w:val="0"/>
                    <w:snapToGrid w:val="0"/>
                    <w:spacing w:line="320" w:lineRule="exact"/>
                    <w:ind w:firstLine="0" w:firstLineChars="0"/>
                    <w:jc w:val="center"/>
                    <w:rPr>
                      <w:bCs/>
                      <w:sz w:val="21"/>
                      <w:szCs w:val="21"/>
                      <w:lang w:bidi="en-US"/>
                    </w:rPr>
                  </w:pPr>
                  <w:r>
                    <w:rPr>
                      <w:bCs/>
                      <w:sz w:val="21"/>
                      <w:szCs w:val="21"/>
                      <w:lang w:bidi="en-US"/>
                    </w:rPr>
                    <w:t>PM</w:t>
                  </w:r>
                  <w:r>
                    <w:rPr>
                      <w:bCs/>
                      <w:sz w:val="21"/>
                      <w:szCs w:val="21"/>
                      <w:vertAlign w:val="subscript"/>
                      <w:lang w:bidi="en-US"/>
                    </w:rPr>
                    <w:t>2.5</w:t>
                  </w:r>
                </w:p>
              </w:tc>
              <w:tc>
                <w:tcPr>
                  <w:tcW w:w="2051" w:type="dxa"/>
                  <w:vAlign w:val="center"/>
                </w:tcPr>
                <w:p w14:paraId="32240E7A">
                  <w:pPr>
                    <w:adjustRightInd w:val="0"/>
                    <w:snapToGrid w:val="0"/>
                    <w:spacing w:line="320" w:lineRule="exact"/>
                    <w:ind w:firstLine="0" w:firstLineChars="0"/>
                    <w:jc w:val="center"/>
                    <w:rPr>
                      <w:bCs/>
                      <w:sz w:val="21"/>
                      <w:szCs w:val="21"/>
                      <w:lang w:bidi="en-US"/>
                    </w:rPr>
                  </w:pPr>
                  <w:r>
                    <w:rPr>
                      <w:bCs/>
                      <w:sz w:val="21"/>
                      <w:szCs w:val="21"/>
                      <w:lang w:bidi="en-US"/>
                    </w:rPr>
                    <w:t>年平均</w:t>
                  </w:r>
                </w:p>
              </w:tc>
              <w:tc>
                <w:tcPr>
                  <w:tcW w:w="1348" w:type="dxa"/>
                  <w:vAlign w:val="center"/>
                </w:tcPr>
                <w:p w14:paraId="11F853C2">
                  <w:pPr>
                    <w:adjustRightInd w:val="0"/>
                    <w:snapToGrid w:val="0"/>
                    <w:spacing w:line="320" w:lineRule="exact"/>
                    <w:ind w:firstLine="0" w:firstLineChars="0"/>
                    <w:jc w:val="center"/>
                    <w:rPr>
                      <w:bCs/>
                      <w:sz w:val="21"/>
                      <w:szCs w:val="21"/>
                      <w:lang w:bidi="en-US"/>
                    </w:rPr>
                  </w:pPr>
                  <w:r>
                    <w:rPr>
                      <w:bCs/>
                      <w:sz w:val="21"/>
                      <w:szCs w:val="21"/>
                      <w:lang w:bidi="en-US"/>
                    </w:rPr>
                    <w:t>3</w:t>
                  </w:r>
                  <w:r>
                    <w:rPr>
                      <w:rFonts w:hint="eastAsia"/>
                      <w:bCs/>
                      <w:sz w:val="21"/>
                      <w:szCs w:val="21"/>
                      <w:lang w:val="en-US" w:eastAsia="zh-CN" w:bidi="en-US"/>
                    </w:rPr>
                    <w:t>0</w:t>
                  </w:r>
                  <w:r>
                    <w:rPr>
                      <w:bCs/>
                      <w:sz w:val="21"/>
                      <w:szCs w:val="21"/>
                      <w:lang w:bidi="en-US"/>
                    </w:rPr>
                    <w:t>μg/m</w:t>
                  </w:r>
                  <w:r>
                    <w:rPr>
                      <w:bCs/>
                      <w:sz w:val="21"/>
                      <w:szCs w:val="21"/>
                      <w:vertAlign w:val="superscript"/>
                      <w:lang w:bidi="en-US"/>
                    </w:rPr>
                    <w:t>3</w:t>
                  </w:r>
                </w:p>
              </w:tc>
              <w:tc>
                <w:tcPr>
                  <w:tcW w:w="3390" w:type="dxa"/>
                  <w:vMerge w:val="continue"/>
                  <w:vAlign w:val="center"/>
                </w:tcPr>
                <w:p w14:paraId="52951118">
                  <w:pPr>
                    <w:adjustRightInd w:val="0"/>
                    <w:snapToGrid w:val="0"/>
                    <w:spacing w:line="320" w:lineRule="exact"/>
                    <w:ind w:firstLine="420"/>
                    <w:jc w:val="center"/>
                    <w:rPr>
                      <w:bCs/>
                      <w:sz w:val="21"/>
                      <w:szCs w:val="21"/>
                      <w:lang w:bidi="en-US"/>
                    </w:rPr>
                  </w:pPr>
                </w:p>
              </w:tc>
            </w:tr>
            <w:tr w14:paraId="491C06E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continue"/>
                  <w:vAlign w:val="center"/>
                </w:tcPr>
                <w:p w14:paraId="40714458">
                  <w:pPr>
                    <w:adjustRightInd w:val="0"/>
                    <w:snapToGrid w:val="0"/>
                    <w:spacing w:line="320" w:lineRule="exact"/>
                    <w:ind w:firstLine="0" w:firstLineChars="0"/>
                    <w:jc w:val="center"/>
                    <w:rPr>
                      <w:bCs/>
                      <w:sz w:val="21"/>
                      <w:szCs w:val="21"/>
                      <w:lang w:bidi="en-US"/>
                    </w:rPr>
                  </w:pPr>
                </w:p>
              </w:tc>
              <w:tc>
                <w:tcPr>
                  <w:tcW w:w="2051" w:type="dxa"/>
                  <w:vAlign w:val="center"/>
                </w:tcPr>
                <w:p w14:paraId="10386B35">
                  <w:pPr>
                    <w:adjustRightInd w:val="0"/>
                    <w:snapToGrid w:val="0"/>
                    <w:spacing w:line="320" w:lineRule="exact"/>
                    <w:ind w:firstLine="0" w:firstLineChars="0"/>
                    <w:jc w:val="center"/>
                    <w:rPr>
                      <w:bCs/>
                      <w:sz w:val="21"/>
                      <w:szCs w:val="21"/>
                      <w:lang w:bidi="en-US"/>
                    </w:rPr>
                  </w:pPr>
                  <w:r>
                    <w:rPr>
                      <w:bCs/>
                      <w:sz w:val="21"/>
                      <w:szCs w:val="21"/>
                      <w:lang w:bidi="en-US"/>
                    </w:rPr>
                    <w:t>24小时平均</w:t>
                  </w:r>
                </w:p>
              </w:tc>
              <w:tc>
                <w:tcPr>
                  <w:tcW w:w="1348" w:type="dxa"/>
                  <w:vAlign w:val="center"/>
                </w:tcPr>
                <w:p w14:paraId="381C7AEA">
                  <w:pPr>
                    <w:adjustRightInd w:val="0"/>
                    <w:snapToGrid w:val="0"/>
                    <w:spacing w:line="320" w:lineRule="exact"/>
                    <w:ind w:firstLine="0" w:firstLineChars="0"/>
                    <w:jc w:val="center"/>
                    <w:rPr>
                      <w:bCs/>
                      <w:sz w:val="21"/>
                      <w:szCs w:val="21"/>
                      <w:lang w:bidi="en-US"/>
                    </w:rPr>
                  </w:pPr>
                  <w:r>
                    <w:rPr>
                      <w:rFonts w:hint="eastAsia"/>
                      <w:bCs/>
                      <w:sz w:val="21"/>
                      <w:szCs w:val="21"/>
                      <w:lang w:val="en-US" w:eastAsia="zh-CN" w:bidi="en-US"/>
                    </w:rPr>
                    <w:t>60</w:t>
                  </w:r>
                  <w:r>
                    <w:rPr>
                      <w:bCs/>
                      <w:sz w:val="21"/>
                      <w:szCs w:val="21"/>
                      <w:lang w:bidi="en-US"/>
                    </w:rPr>
                    <w:t>μg/m</w:t>
                  </w:r>
                  <w:r>
                    <w:rPr>
                      <w:bCs/>
                      <w:sz w:val="21"/>
                      <w:szCs w:val="21"/>
                      <w:vertAlign w:val="superscript"/>
                      <w:lang w:bidi="en-US"/>
                    </w:rPr>
                    <w:t>3</w:t>
                  </w:r>
                </w:p>
              </w:tc>
              <w:tc>
                <w:tcPr>
                  <w:tcW w:w="3390" w:type="dxa"/>
                  <w:vMerge w:val="continue"/>
                  <w:vAlign w:val="center"/>
                </w:tcPr>
                <w:p w14:paraId="5DD2425D">
                  <w:pPr>
                    <w:adjustRightInd w:val="0"/>
                    <w:snapToGrid w:val="0"/>
                    <w:spacing w:line="320" w:lineRule="exact"/>
                    <w:ind w:firstLine="420"/>
                    <w:jc w:val="center"/>
                    <w:rPr>
                      <w:bCs/>
                      <w:sz w:val="21"/>
                      <w:szCs w:val="21"/>
                      <w:lang w:bidi="en-US"/>
                    </w:rPr>
                  </w:pPr>
                </w:p>
              </w:tc>
            </w:tr>
            <w:tr w14:paraId="114EB3A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restart"/>
                  <w:vAlign w:val="center"/>
                </w:tcPr>
                <w:p w14:paraId="6B23F1EE">
                  <w:pPr>
                    <w:adjustRightInd w:val="0"/>
                    <w:snapToGrid w:val="0"/>
                    <w:spacing w:line="320" w:lineRule="exact"/>
                    <w:ind w:firstLine="0" w:firstLineChars="0"/>
                    <w:jc w:val="center"/>
                    <w:rPr>
                      <w:bCs/>
                      <w:sz w:val="21"/>
                      <w:szCs w:val="21"/>
                      <w:lang w:bidi="en-US"/>
                    </w:rPr>
                  </w:pPr>
                  <w:r>
                    <w:rPr>
                      <w:bCs/>
                      <w:sz w:val="21"/>
                      <w:szCs w:val="21"/>
                      <w:lang w:bidi="en-US"/>
                    </w:rPr>
                    <w:t>SO</w:t>
                  </w:r>
                  <w:r>
                    <w:rPr>
                      <w:bCs/>
                      <w:sz w:val="21"/>
                      <w:szCs w:val="21"/>
                      <w:vertAlign w:val="subscript"/>
                      <w:lang w:bidi="en-US"/>
                    </w:rPr>
                    <w:t>2</w:t>
                  </w:r>
                </w:p>
              </w:tc>
              <w:tc>
                <w:tcPr>
                  <w:tcW w:w="2051" w:type="dxa"/>
                  <w:vAlign w:val="center"/>
                </w:tcPr>
                <w:p w14:paraId="0725362B">
                  <w:pPr>
                    <w:adjustRightInd w:val="0"/>
                    <w:snapToGrid w:val="0"/>
                    <w:spacing w:line="320" w:lineRule="exact"/>
                    <w:ind w:firstLine="0" w:firstLineChars="0"/>
                    <w:jc w:val="center"/>
                    <w:rPr>
                      <w:bCs/>
                      <w:sz w:val="21"/>
                      <w:szCs w:val="21"/>
                      <w:lang w:bidi="en-US"/>
                    </w:rPr>
                  </w:pPr>
                  <w:r>
                    <w:rPr>
                      <w:bCs/>
                      <w:sz w:val="21"/>
                      <w:szCs w:val="21"/>
                      <w:lang w:bidi="en-US"/>
                    </w:rPr>
                    <w:t>年平均</w:t>
                  </w:r>
                </w:p>
              </w:tc>
              <w:tc>
                <w:tcPr>
                  <w:tcW w:w="1348" w:type="dxa"/>
                  <w:vAlign w:val="center"/>
                </w:tcPr>
                <w:p w14:paraId="476CB7FB">
                  <w:pPr>
                    <w:adjustRightInd w:val="0"/>
                    <w:snapToGrid w:val="0"/>
                    <w:spacing w:line="320" w:lineRule="exact"/>
                    <w:ind w:firstLine="0" w:firstLineChars="0"/>
                    <w:jc w:val="center"/>
                    <w:rPr>
                      <w:bCs/>
                      <w:sz w:val="21"/>
                      <w:szCs w:val="21"/>
                      <w:lang w:bidi="en-US"/>
                    </w:rPr>
                  </w:pPr>
                  <w:r>
                    <w:rPr>
                      <w:bCs/>
                      <w:sz w:val="21"/>
                      <w:szCs w:val="21"/>
                      <w:lang w:bidi="en-US"/>
                    </w:rPr>
                    <w:t>60μg/m</w:t>
                  </w:r>
                  <w:r>
                    <w:rPr>
                      <w:bCs/>
                      <w:sz w:val="21"/>
                      <w:szCs w:val="21"/>
                      <w:vertAlign w:val="superscript"/>
                      <w:lang w:bidi="en-US"/>
                    </w:rPr>
                    <w:t>3</w:t>
                  </w:r>
                </w:p>
              </w:tc>
              <w:tc>
                <w:tcPr>
                  <w:tcW w:w="3390" w:type="dxa"/>
                  <w:vMerge w:val="continue"/>
                  <w:vAlign w:val="center"/>
                </w:tcPr>
                <w:p w14:paraId="4A96EE53">
                  <w:pPr>
                    <w:adjustRightInd w:val="0"/>
                    <w:snapToGrid w:val="0"/>
                    <w:spacing w:line="320" w:lineRule="exact"/>
                    <w:ind w:firstLine="420"/>
                    <w:jc w:val="center"/>
                    <w:rPr>
                      <w:bCs/>
                      <w:sz w:val="21"/>
                      <w:szCs w:val="21"/>
                      <w:lang w:bidi="en-US"/>
                    </w:rPr>
                  </w:pPr>
                </w:p>
              </w:tc>
            </w:tr>
            <w:tr w14:paraId="739D65D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continue"/>
                  <w:vAlign w:val="center"/>
                </w:tcPr>
                <w:p w14:paraId="03109334">
                  <w:pPr>
                    <w:adjustRightInd w:val="0"/>
                    <w:snapToGrid w:val="0"/>
                    <w:spacing w:line="320" w:lineRule="exact"/>
                    <w:ind w:firstLine="0" w:firstLineChars="0"/>
                    <w:jc w:val="center"/>
                    <w:rPr>
                      <w:bCs/>
                      <w:sz w:val="21"/>
                      <w:szCs w:val="21"/>
                      <w:lang w:bidi="en-US"/>
                    </w:rPr>
                  </w:pPr>
                </w:p>
              </w:tc>
              <w:tc>
                <w:tcPr>
                  <w:tcW w:w="2051" w:type="dxa"/>
                  <w:vAlign w:val="center"/>
                </w:tcPr>
                <w:p w14:paraId="2975644D">
                  <w:pPr>
                    <w:adjustRightInd w:val="0"/>
                    <w:snapToGrid w:val="0"/>
                    <w:spacing w:line="320" w:lineRule="exact"/>
                    <w:ind w:firstLine="0" w:firstLineChars="0"/>
                    <w:jc w:val="center"/>
                    <w:rPr>
                      <w:bCs/>
                      <w:sz w:val="21"/>
                      <w:szCs w:val="21"/>
                      <w:lang w:bidi="en-US"/>
                    </w:rPr>
                  </w:pPr>
                  <w:r>
                    <w:rPr>
                      <w:bCs/>
                      <w:sz w:val="21"/>
                      <w:szCs w:val="21"/>
                      <w:lang w:bidi="en-US"/>
                    </w:rPr>
                    <w:t>24小时平均</w:t>
                  </w:r>
                </w:p>
              </w:tc>
              <w:tc>
                <w:tcPr>
                  <w:tcW w:w="1348" w:type="dxa"/>
                  <w:vAlign w:val="center"/>
                </w:tcPr>
                <w:p w14:paraId="7CE30401">
                  <w:pPr>
                    <w:adjustRightInd w:val="0"/>
                    <w:snapToGrid w:val="0"/>
                    <w:spacing w:line="320" w:lineRule="exact"/>
                    <w:ind w:firstLine="0" w:firstLineChars="0"/>
                    <w:jc w:val="center"/>
                    <w:rPr>
                      <w:bCs/>
                      <w:sz w:val="21"/>
                      <w:szCs w:val="21"/>
                      <w:lang w:bidi="en-US"/>
                    </w:rPr>
                  </w:pPr>
                  <w:r>
                    <w:rPr>
                      <w:bCs/>
                      <w:sz w:val="21"/>
                      <w:szCs w:val="21"/>
                      <w:lang w:bidi="en-US"/>
                    </w:rPr>
                    <w:t>150μg/m</w:t>
                  </w:r>
                  <w:r>
                    <w:rPr>
                      <w:bCs/>
                      <w:sz w:val="21"/>
                      <w:szCs w:val="21"/>
                      <w:vertAlign w:val="superscript"/>
                      <w:lang w:bidi="en-US"/>
                    </w:rPr>
                    <w:t>3</w:t>
                  </w:r>
                </w:p>
              </w:tc>
              <w:tc>
                <w:tcPr>
                  <w:tcW w:w="3390" w:type="dxa"/>
                  <w:vMerge w:val="continue"/>
                  <w:vAlign w:val="center"/>
                </w:tcPr>
                <w:p w14:paraId="78E1FFAE">
                  <w:pPr>
                    <w:adjustRightInd w:val="0"/>
                    <w:snapToGrid w:val="0"/>
                    <w:spacing w:line="320" w:lineRule="exact"/>
                    <w:ind w:firstLine="420"/>
                    <w:jc w:val="center"/>
                    <w:rPr>
                      <w:bCs/>
                      <w:sz w:val="21"/>
                      <w:szCs w:val="21"/>
                      <w:lang w:bidi="en-US"/>
                    </w:rPr>
                  </w:pPr>
                </w:p>
              </w:tc>
            </w:tr>
            <w:tr w14:paraId="54B81CB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continue"/>
                  <w:vAlign w:val="center"/>
                </w:tcPr>
                <w:p w14:paraId="2615F326">
                  <w:pPr>
                    <w:adjustRightInd w:val="0"/>
                    <w:snapToGrid w:val="0"/>
                    <w:spacing w:line="320" w:lineRule="exact"/>
                    <w:ind w:firstLine="0" w:firstLineChars="0"/>
                    <w:jc w:val="center"/>
                    <w:rPr>
                      <w:bCs/>
                      <w:sz w:val="21"/>
                      <w:szCs w:val="21"/>
                      <w:lang w:bidi="en-US"/>
                    </w:rPr>
                  </w:pPr>
                </w:p>
              </w:tc>
              <w:tc>
                <w:tcPr>
                  <w:tcW w:w="2051" w:type="dxa"/>
                  <w:vAlign w:val="center"/>
                </w:tcPr>
                <w:p w14:paraId="4A2C42D2">
                  <w:pPr>
                    <w:adjustRightInd w:val="0"/>
                    <w:snapToGrid w:val="0"/>
                    <w:spacing w:line="320" w:lineRule="exact"/>
                    <w:ind w:firstLine="0" w:firstLineChars="0"/>
                    <w:jc w:val="center"/>
                    <w:rPr>
                      <w:bCs/>
                      <w:sz w:val="21"/>
                      <w:szCs w:val="21"/>
                      <w:lang w:bidi="en-US"/>
                    </w:rPr>
                  </w:pPr>
                  <w:r>
                    <w:rPr>
                      <w:bCs/>
                      <w:sz w:val="21"/>
                      <w:szCs w:val="21"/>
                      <w:lang w:bidi="en-US"/>
                    </w:rPr>
                    <w:t>1小时平均</w:t>
                  </w:r>
                </w:p>
              </w:tc>
              <w:tc>
                <w:tcPr>
                  <w:tcW w:w="1348" w:type="dxa"/>
                  <w:vAlign w:val="center"/>
                </w:tcPr>
                <w:p w14:paraId="2A1926E1">
                  <w:pPr>
                    <w:adjustRightInd w:val="0"/>
                    <w:snapToGrid w:val="0"/>
                    <w:spacing w:line="320" w:lineRule="exact"/>
                    <w:ind w:firstLine="0" w:firstLineChars="0"/>
                    <w:jc w:val="center"/>
                    <w:rPr>
                      <w:bCs/>
                      <w:sz w:val="21"/>
                      <w:szCs w:val="21"/>
                      <w:lang w:bidi="en-US"/>
                    </w:rPr>
                  </w:pPr>
                  <w:r>
                    <w:rPr>
                      <w:bCs/>
                      <w:sz w:val="21"/>
                      <w:szCs w:val="21"/>
                      <w:lang w:bidi="en-US"/>
                    </w:rPr>
                    <w:t>500μg/m</w:t>
                  </w:r>
                  <w:r>
                    <w:rPr>
                      <w:bCs/>
                      <w:sz w:val="21"/>
                      <w:szCs w:val="21"/>
                      <w:vertAlign w:val="superscript"/>
                      <w:lang w:bidi="en-US"/>
                    </w:rPr>
                    <w:t>3</w:t>
                  </w:r>
                </w:p>
              </w:tc>
              <w:tc>
                <w:tcPr>
                  <w:tcW w:w="3390" w:type="dxa"/>
                  <w:vMerge w:val="continue"/>
                  <w:vAlign w:val="center"/>
                </w:tcPr>
                <w:p w14:paraId="60D1E978">
                  <w:pPr>
                    <w:adjustRightInd w:val="0"/>
                    <w:snapToGrid w:val="0"/>
                    <w:spacing w:line="320" w:lineRule="exact"/>
                    <w:ind w:firstLine="420"/>
                    <w:jc w:val="center"/>
                    <w:rPr>
                      <w:bCs/>
                      <w:sz w:val="21"/>
                      <w:szCs w:val="21"/>
                      <w:lang w:bidi="en-US"/>
                    </w:rPr>
                  </w:pPr>
                </w:p>
              </w:tc>
            </w:tr>
            <w:tr w14:paraId="301F94E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restart"/>
                  <w:vAlign w:val="center"/>
                </w:tcPr>
                <w:p w14:paraId="76497171">
                  <w:pPr>
                    <w:adjustRightInd w:val="0"/>
                    <w:snapToGrid w:val="0"/>
                    <w:spacing w:line="320" w:lineRule="exact"/>
                    <w:ind w:firstLine="0" w:firstLineChars="0"/>
                    <w:jc w:val="center"/>
                    <w:rPr>
                      <w:bCs/>
                      <w:sz w:val="21"/>
                      <w:szCs w:val="21"/>
                      <w:lang w:bidi="en-US"/>
                    </w:rPr>
                  </w:pPr>
                  <w:r>
                    <w:rPr>
                      <w:bCs/>
                      <w:sz w:val="21"/>
                      <w:szCs w:val="21"/>
                      <w:lang w:bidi="en-US"/>
                    </w:rPr>
                    <w:t>NO</w:t>
                  </w:r>
                  <w:r>
                    <w:rPr>
                      <w:bCs/>
                      <w:sz w:val="21"/>
                      <w:szCs w:val="21"/>
                      <w:vertAlign w:val="subscript"/>
                      <w:lang w:bidi="en-US"/>
                    </w:rPr>
                    <w:t>2</w:t>
                  </w:r>
                </w:p>
              </w:tc>
              <w:tc>
                <w:tcPr>
                  <w:tcW w:w="2051" w:type="dxa"/>
                  <w:vAlign w:val="center"/>
                </w:tcPr>
                <w:p w14:paraId="114D76C2">
                  <w:pPr>
                    <w:adjustRightInd w:val="0"/>
                    <w:snapToGrid w:val="0"/>
                    <w:spacing w:line="320" w:lineRule="exact"/>
                    <w:ind w:firstLine="0" w:firstLineChars="0"/>
                    <w:jc w:val="center"/>
                    <w:rPr>
                      <w:bCs/>
                      <w:sz w:val="21"/>
                      <w:szCs w:val="21"/>
                      <w:lang w:bidi="en-US"/>
                    </w:rPr>
                  </w:pPr>
                  <w:r>
                    <w:rPr>
                      <w:bCs/>
                      <w:sz w:val="21"/>
                      <w:szCs w:val="21"/>
                      <w:lang w:bidi="en-US"/>
                    </w:rPr>
                    <w:t>年平均</w:t>
                  </w:r>
                </w:p>
              </w:tc>
              <w:tc>
                <w:tcPr>
                  <w:tcW w:w="1348" w:type="dxa"/>
                  <w:vAlign w:val="center"/>
                </w:tcPr>
                <w:p w14:paraId="5E19D2C8">
                  <w:pPr>
                    <w:adjustRightInd w:val="0"/>
                    <w:snapToGrid w:val="0"/>
                    <w:spacing w:line="320" w:lineRule="exact"/>
                    <w:ind w:firstLine="0" w:firstLineChars="0"/>
                    <w:jc w:val="center"/>
                    <w:rPr>
                      <w:bCs/>
                      <w:sz w:val="21"/>
                      <w:szCs w:val="21"/>
                      <w:lang w:bidi="en-US"/>
                    </w:rPr>
                  </w:pPr>
                  <w:r>
                    <w:rPr>
                      <w:bCs/>
                      <w:sz w:val="21"/>
                      <w:szCs w:val="21"/>
                      <w:lang w:bidi="en-US"/>
                    </w:rPr>
                    <w:t>40μg/m</w:t>
                  </w:r>
                  <w:r>
                    <w:rPr>
                      <w:bCs/>
                      <w:sz w:val="21"/>
                      <w:szCs w:val="21"/>
                      <w:vertAlign w:val="superscript"/>
                      <w:lang w:bidi="en-US"/>
                    </w:rPr>
                    <w:t>3</w:t>
                  </w:r>
                </w:p>
              </w:tc>
              <w:tc>
                <w:tcPr>
                  <w:tcW w:w="3390" w:type="dxa"/>
                  <w:vMerge w:val="continue"/>
                  <w:vAlign w:val="center"/>
                </w:tcPr>
                <w:p w14:paraId="3ADA5ABF">
                  <w:pPr>
                    <w:adjustRightInd w:val="0"/>
                    <w:snapToGrid w:val="0"/>
                    <w:spacing w:line="320" w:lineRule="exact"/>
                    <w:ind w:firstLine="420"/>
                    <w:jc w:val="center"/>
                    <w:rPr>
                      <w:bCs/>
                      <w:sz w:val="21"/>
                      <w:szCs w:val="21"/>
                      <w:lang w:bidi="en-US"/>
                    </w:rPr>
                  </w:pPr>
                </w:p>
              </w:tc>
            </w:tr>
            <w:tr w14:paraId="447C120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continue"/>
                  <w:vAlign w:val="center"/>
                </w:tcPr>
                <w:p w14:paraId="3BFEB689">
                  <w:pPr>
                    <w:adjustRightInd w:val="0"/>
                    <w:snapToGrid w:val="0"/>
                    <w:spacing w:line="320" w:lineRule="exact"/>
                    <w:ind w:firstLine="0" w:firstLineChars="0"/>
                    <w:jc w:val="center"/>
                    <w:rPr>
                      <w:bCs/>
                      <w:sz w:val="21"/>
                      <w:szCs w:val="21"/>
                      <w:lang w:bidi="en-US"/>
                    </w:rPr>
                  </w:pPr>
                </w:p>
              </w:tc>
              <w:tc>
                <w:tcPr>
                  <w:tcW w:w="2051" w:type="dxa"/>
                  <w:vAlign w:val="center"/>
                </w:tcPr>
                <w:p w14:paraId="113E1CC3">
                  <w:pPr>
                    <w:adjustRightInd w:val="0"/>
                    <w:snapToGrid w:val="0"/>
                    <w:spacing w:line="320" w:lineRule="exact"/>
                    <w:ind w:firstLine="0" w:firstLineChars="0"/>
                    <w:jc w:val="center"/>
                    <w:rPr>
                      <w:bCs/>
                      <w:sz w:val="21"/>
                      <w:szCs w:val="21"/>
                      <w:lang w:bidi="en-US"/>
                    </w:rPr>
                  </w:pPr>
                  <w:r>
                    <w:rPr>
                      <w:bCs/>
                      <w:sz w:val="21"/>
                      <w:szCs w:val="21"/>
                      <w:lang w:bidi="en-US"/>
                    </w:rPr>
                    <w:t>24小时平均</w:t>
                  </w:r>
                </w:p>
              </w:tc>
              <w:tc>
                <w:tcPr>
                  <w:tcW w:w="1348" w:type="dxa"/>
                  <w:vAlign w:val="center"/>
                </w:tcPr>
                <w:p w14:paraId="770CBA00">
                  <w:pPr>
                    <w:adjustRightInd w:val="0"/>
                    <w:snapToGrid w:val="0"/>
                    <w:spacing w:line="320" w:lineRule="exact"/>
                    <w:ind w:firstLine="0" w:firstLineChars="0"/>
                    <w:jc w:val="center"/>
                    <w:rPr>
                      <w:bCs/>
                      <w:sz w:val="21"/>
                      <w:szCs w:val="21"/>
                      <w:lang w:bidi="en-US"/>
                    </w:rPr>
                  </w:pPr>
                  <w:r>
                    <w:rPr>
                      <w:bCs/>
                      <w:sz w:val="21"/>
                      <w:szCs w:val="21"/>
                      <w:lang w:bidi="en-US"/>
                    </w:rPr>
                    <w:t>80μg/m</w:t>
                  </w:r>
                  <w:r>
                    <w:rPr>
                      <w:bCs/>
                      <w:sz w:val="21"/>
                      <w:szCs w:val="21"/>
                      <w:vertAlign w:val="superscript"/>
                      <w:lang w:bidi="en-US"/>
                    </w:rPr>
                    <w:t>3</w:t>
                  </w:r>
                </w:p>
              </w:tc>
              <w:tc>
                <w:tcPr>
                  <w:tcW w:w="3390" w:type="dxa"/>
                  <w:vMerge w:val="continue"/>
                  <w:vAlign w:val="center"/>
                </w:tcPr>
                <w:p w14:paraId="3E743C91">
                  <w:pPr>
                    <w:adjustRightInd w:val="0"/>
                    <w:snapToGrid w:val="0"/>
                    <w:spacing w:line="320" w:lineRule="exact"/>
                    <w:ind w:firstLine="420"/>
                    <w:jc w:val="center"/>
                    <w:rPr>
                      <w:bCs/>
                      <w:sz w:val="21"/>
                      <w:szCs w:val="21"/>
                      <w:lang w:bidi="en-US"/>
                    </w:rPr>
                  </w:pPr>
                </w:p>
              </w:tc>
            </w:tr>
            <w:tr w14:paraId="6C6DDCC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continue"/>
                  <w:vAlign w:val="center"/>
                </w:tcPr>
                <w:p w14:paraId="59D033AB">
                  <w:pPr>
                    <w:adjustRightInd w:val="0"/>
                    <w:snapToGrid w:val="0"/>
                    <w:spacing w:line="320" w:lineRule="exact"/>
                    <w:ind w:firstLine="0" w:firstLineChars="0"/>
                    <w:jc w:val="center"/>
                    <w:rPr>
                      <w:bCs/>
                      <w:sz w:val="21"/>
                      <w:szCs w:val="21"/>
                      <w:lang w:bidi="en-US"/>
                    </w:rPr>
                  </w:pPr>
                </w:p>
              </w:tc>
              <w:tc>
                <w:tcPr>
                  <w:tcW w:w="2051" w:type="dxa"/>
                  <w:vAlign w:val="center"/>
                </w:tcPr>
                <w:p w14:paraId="3998B79A">
                  <w:pPr>
                    <w:adjustRightInd w:val="0"/>
                    <w:snapToGrid w:val="0"/>
                    <w:spacing w:line="320" w:lineRule="exact"/>
                    <w:ind w:firstLine="0" w:firstLineChars="0"/>
                    <w:jc w:val="center"/>
                    <w:rPr>
                      <w:bCs/>
                      <w:sz w:val="21"/>
                      <w:szCs w:val="21"/>
                      <w:lang w:bidi="en-US"/>
                    </w:rPr>
                  </w:pPr>
                  <w:r>
                    <w:rPr>
                      <w:bCs/>
                      <w:sz w:val="21"/>
                      <w:szCs w:val="21"/>
                      <w:lang w:bidi="en-US"/>
                    </w:rPr>
                    <w:t>1小时平均</w:t>
                  </w:r>
                </w:p>
              </w:tc>
              <w:tc>
                <w:tcPr>
                  <w:tcW w:w="1348" w:type="dxa"/>
                  <w:vAlign w:val="center"/>
                </w:tcPr>
                <w:p w14:paraId="1B10FBAB">
                  <w:pPr>
                    <w:adjustRightInd w:val="0"/>
                    <w:snapToGrid w:val="0"/>
                    <w:spacing w:line="320" w:lineRule="exact"/>
                    <w:ind w:firstLine="0" w:firstLineChars="0"/>
                    <w:jc w:val="center"/>
                    <w:rPr>
                      <w:bCs/>
                      <w:sz w:val="21"/>
                      <w:szCs w:val="21"/>
                      <w:lang w:bidi="en-US"/>
                    </w:rPr>
                  </w:pPr>
                  <w:r>
                    <w:rPr>
                      <w:bCs/>
                      <w:sz w:val="21"/>
                      <w:szCs w:val="21"/>
                      <w:lang w:bidi="en-US"/>
                    </w:rPr>
                    <w:t>200μg/m</w:t>
                  </w:r>
                  <w:r>
                    <w:rPr>
                      <w:bCs/>
                      <w:sz w:val="21"/>
                      <w:szCs w:val="21"/>
                      <w:vertAlign w:val="superscript"/>
                      <w:lang w:bidi="en-US"/>
                    </w:rPr>
                    <w:t>3</w:t>
                  </w:r>
                </w:p>
              </w:tc>
              <w:tc>
                <w:tcPr>
                  <w:tcW w:w="3390" w:type="dxa"/>
                  <w:vMerge w:val="continue"/>
                  <w:vAlign w:val="center"/>
                </w:tcPr>
                <w:p w14:paraId="7198998E">
                  <w:pPr>
                    <w:adjustRightInd w:val="0"/>
                    <w:snapToGrid w:val="0"/>
                    <w:spacing w:line="320" w:lineRule="exact"/>
                    <w:ind w:firstLine="420"/>
                    <w:jc w:val="center"/>
                    <w:rPr>
                      <w:bCs/>
                      <w:sz w:val="21"/>
                      <w:szCs w:val="21"/>
                      <w:lang w:bidi="en-US"/>
                    </w:rPr>
                  </w:pPr>
                </w:p>
              </w:tc>
            </w:tr>
            <w:tr w14:paraId="4F1BC6D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restart"/>
                  <w:vAlign w:val="center"/>
                </w:tcPr>
                <w:p w14:paraId="03F9F719">
                  <w:pPr>
                    <w:adjustRightInd w:val="0"/>
                    <w:snapToGrid w:val="0"/>
                    <w:spacing w:line="320" w:lineRule="exact"/>
                    <w:ind w:firstLine="0" w:firstLineChars="0"/>
                    <w:jc w:val="center"/>
                    <w:rPr>
                      <w:bCs/>
                      <w:sz w:val="21"/>
                      <w:szCs w:val="21"/>
                      <w:lang w:bidi="en-US"/>
                    </w:rPr>
                  </w:pPr>
                  <w:r>
                    <w:rPr>
                      <w:bCs/>
                      <w:sz w:val="21"/>
                      <w:szCs w:val="21"/>
                      <w:lang w:bidi="en-US"/>
                    </w:rPr>
                    <w:t>CO</w:t>
                  </w:r>
                </w:p>
              </w:tc>
              <w:tc>
                <w:tcPr>
                  <w:tcW w:w="2051" w:type="dxa"/>
                  <w:vAlign w:val="center"/>
                </w:tcPr>
                <w:p w14:paraId="17859325">
                  <w:pPr>
                    <w:adjustRightInd w:val="0"/>
                    <w:snapToGrid w:val="0"/>
                    <w:spacing w:line="320" w:lineRule="exact"/>
                    <w:ind w:firstLine="0" w:firstLineChars="0"/>
                    <w:jc w:val="center"/>
                    <w:rPr>
                      <w:bCs/>
                      <w:sz w:val="21"/>
                      <w:szCs w:val="21"/>
                      <w:lang w:bidi="en-US"/>
                    </w:rPr>
                  </w:pPr>
                  <w:r>
                    <w:rPr>
                      <w:bCs/>
                      <w:sz w:val="21"/>
                      <w:szCs w:val="21"/>
                      <w:lang w:bidi="en-US"/>
                    </w:rPr>
                    <w:t>24小时平均</w:t>
                  </w:r>
                </w:p>
              </w:tc>
              <w:tc>
                <w:tcPr>
                  <w:tcW w:w="1348" w:type="dxa"/>
                  <w:vAlign w:val="center"/>
                </w:tcPr>
                <w:p w14:paraId="4928FBF4">
                  <w:pPr>
                    <w:adjustRightInd w:val="0"/>
                    <w:snapToGrid w:val="0"/>
                    <w:spacing w:line="320" w:lineRule="exact"/>
                    <w:ind w:firstLine="0" w:firstLineChars="0"/>
                    <w:jc w:val="center"/>
                    <w:rPr>
                      <w:bCs/>
                      <w:sz w:val="21"/>
                      <w:szCs w:val="21"/>
                      <w:lang w:bidi="en-US"/>
                    </w:rPr>
                  </w:pPr>
                  <w:r>
                    <w:rPr>
                      <w:bCs/>
                      <w:sz w:val="21"/>
                      <w:szCs w:val="21"/>
                      <w:lang w:bidi="en-US"/>
                    </w:rPr>
                    <w:t>4mg/m</w:t>
                  </w:r>
                  <w:r>
                    <w:rPr>
                      <w:bCs/>
                      <w:sz w:val="21"/>
                      <w:szCs w:val="21"/>
                      <w:vertAlign w:val="superscript"/>
                      <w:lang w:bidi="en-US"/>
                    </w:rPr>
                    <w:t>3</w:t>
                  </w:r>
                </w:p>
              </w:tc>
              <w:tc>
                <w:tcPr>
                  <w:tcW w:w="3390" w:type="dxa"/>
                  <w:vMerge w:val="continue"/>
                  <w:vAlign w:val="center"/>
                </w:tcPr>
                <w:p w14:paraId="30DBE217">
                  <w:pPr>
                    <w:adjustRightInd w:val="0"/>
                    <w:snapToGrid w:val="0"/>
                    <w:spacing w:line="320" w:lineRule="exact"/>
                    <w:ind w:firstLine="420"/>
                    <w:jc w:val="center"/>
                    <w:rPr>
                      <w:bCs/>
                      <w:sz w:val="21"/>
                      <w:szCs w:val="21"/>
                      <w:lang w:bidi="en-US"/>
                    </w:rPr>
                  </w:pPr>
                </w:p>
              </w:tc>
            </w:tr>
            <w:tr w14:paraId="0A7A45D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00" w:hRule="atLeast"/>
                <w:jc w:val="center"/>
              </w:trPr>
              <w:tc>
                <w:tcPr>
                  <w:tcW w:w="1375" w:type="dxa"/>
                  <w:vMerge w:val="continue"/>
                  <w:vAlign w:val="center"/>
                </w:tcPr>
                <w:p w14:paraId="15D50305">
                  <w:pPr>
                    <w:adjustRightInd w:val="0"/>
                    <w:snapToGrid w:val="0"/>
                    <w:spacing w:line="320" w:lineRule="exact"/>
                    <w:ind w:firstLine="0" w:firstLineChars="0"/>
                    <w:jc w:val="center"/>
                    <w:rPr>
                      <w:bCs/>
                      <w:sz w:val="21"/>
                      <w:szCs w:val="21"/>
                      <w:lang w:bidi="en-US"/>
                    </w:rPr>
                  </w:pPr>
                </w:p>
              </w:tc>
              <w:tc>
                <w:tcPr>
                  <w:tcW w:w="2051" w:type="dxa"/>
                  <w:vAlign w:val="center"/>
                </w:tcPr>
                <w:p w14:paraId="55D3A6F2">
                  <w:pPr>
                    <w:adjustRightInd w:val="0"/>
                    <w:snapToGrid w:val="0"/>
                    <w:spacing w:line="320" w:lineRule="exact"/>
                    <w:ind w:firstLine="0" w:firstLineChars="0"/>
                    <w:jc w:val="center"/>
                    <w:rPr>
                      <w:bCs/>
                      <w:sz w:val="21"/>
                      <w:szCs w:val="21"/>
                      <w:lang w:bidi="en-US"/>
                    </w:rPr>
                  </w:pPr>
                  <w:r>
                    <w:rPr>
                      <w:bCs/>
                      <w:sz w:val="21"/>
                      <w:szCs w:val="21"/>
                      <w:lang w:bidi="en-US"/>
                    </w:rPr>
                    <w:t>1小时平均</w:t>
                  </w:r>
                </w:p>
              </w:tc>
              <w:tc>
                <w:tcPr>
                  <w:tcW w:w="1348" w:type="dxa"/>
                  <w:vAlign w:val="center"/>
                </w:tcPr>
                <w:p w14:paraId="00A6F9B4">
                  <w:pPr>
                    <w:adjustRightInd w:val="0"/>
                    <w:snapToGrid w:val="0"/>
                    <w:spacing w:line="320" w:lineRule="exact"/>
                    <w:ind w:firstLine="0" w:firstLineChars="0"/>
                    <w:jc w:val="center"/>
                    <w:rPr>
                      <w:bCs/>
                      <w:sz w:val="21"/>
                      <w:szCs w:val="21"/>
                      <w:lang w:bidi="en-US"/>
                    </w:rPr>
                  </w:pPr>
                  <w:r>
                    <w:rPr>
                      <w:bCs/>
                      <w:sz w:val="21"/>
                      <w:szCs w:val="21"/>
                      <w:lang w:bidi="en-US"/>
                    </w:rPr>
                    <w:t>10mg/m</w:t>
                  </w:r>
                  <w:r>
                    <w:rPr>
                      <w:bCs/>
                      <w:sz w:val="21"/>
                      <w:szCs w:val="21"/>
                      <w:vertAlign w:val="superscript"/>
                      <w:lang w:bidi="en-US"/>
                    </w:rPr>
                    <w:t>3</w:t>
                  </w:r>
                </w:p>
              </w:tc>
              <w:tc>
                <w:tcPr>
                  <w:tcW w:w="3390" w:type="dxa"/>
                  <w:vMerge w:val="continue"/>
                  <w:vAlign w:val="center"/>
                </w:tcPr>
                <w:p w14:paraId="5A208408">
                  <w:pPr>
                    <w:adjustRightInd w:val="0"/>
                    <w:snapToGrid w:val="0"/>
                    <w:spacing w:line="320" w:lineRule="exact"/>
                    <w:ind w:firstLine="420"/>
                    <w:jc w:val="center"/>
                    <w:rPr>
                      <w:bCs/>
                      <w:sz w:val="21"/>
                      <w:szCs w:val="21"/>
                      <w:lang w:bidi="en-US"/>
                    </w:rPr>
                  </w:pPr>
                </w:p>
              </w:tc>
            </w:tr>
            <w:tr w14:paraId="2DA7426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restart"/>
                  <w:vAlign w:val="center"/>
                </w:tcPr>
                <w:p w14:paraId="7DF18B07">
                  <w:pPr>
                    <w:adjustRightInd w:val="0"/>
                    <w:snapToGrid w:val="0"/>
                    <w:spacing w:line="320" w:lineRule="exact"/>
                    <w:ind w:firstLine="0" w:firstLineChars="0"/>
                    <w:jc w:val="center"/>
                    <w:rPr>
                      <w:bCs/>
                      <w:sz w:val="21"/>
                      <w:szCs w:val="21"/>
                      <w:lang w:bidi="en-US"/>
                    </w:rPr>
                  </w:pPr>
                  <w:r>
                    <w:rPr>
                      <w:bCs/>
                      <w:sz w:val="21"/>
                      <w:szCs w:val="21"/>
                      <w:lang w:bidi="en-US"/>
                    </w:rPr>
                    <w:t>O</w:t>
                  </w:r>
                  <w:r>
                    <w:rPr>
                      <w:bCs/>
                      <w:sz w:val="21"/>
                      <w:szCs w:val="21"/>
                      <w:vertAlign w:val="subscript"/>
                      <w:lang w:bidi="en-US"/>
                    </w:rPr>
                    <w:t>3</w:t>
                  </w:r>
                </w:p>
              </w:tc>
              <w:tc>
                <w:tcPr>
                  <w:tcW w:w="2051" w:type="dxa"/>
                  <w:vAlign w:val="center"/>
                </w:tcPr>
                <w:p w14:paraId="069D1EE8">
                  <w:pPr>
                    <w:adjustRightInd w:val="0"/>
                    <w:snapToGrid w:val="0"/>
                    <w:spacing w:line="320" w:lineRule="exact"/>
                    <w:ind w:firstLine="0" w:firstLineChars="0"/>
                    <w:jc w:val="center"/>
                    <w:rPr>
                      <w:bCs/>
                      <w:sz w:val="21"/>
                      <w:szCs w:val="21"/>
                      <w:lang w:bidi="en-US"/>
                    </w:rPr>
                  </w:pPr>
                  <w:r>
                    <w:rPr>
                      <w:bCs/>
                      <w:sz w:val="21"/>
                      <w:szCs w:val="21"/>
                      <w:lang w:bidi="en-US"/>
                    </w:rPr>
                    <w:t>日最大8小时平均</w:t>
                  </w:r>
                </w:p>
              </w:tc>
              <w:tc>
                <w:tcPr>
                  <w:tcW w:w="1348" w:type="dxa"/>
                  <w:vAlign w:val="center"/>
                </w:tcPr>
                <w:p w14:paraId="53C9B612">
                  <w:pPr>
                    <w:adjustRightInd w:val="0"/>
                    <w:snapToGrid w:val="0"/>
                    <w:spacing w:line="320" w:lineRule="exact"/>
                    <w:ind w:firstLine="0" w:firstLineChars="0"/>
                    <w:jc w:val="center"/>
                    <w:rPr>
                      <w:bCs/>
                      <w:sz w:val="21"/>
                      <w:szCs w:val="21"/>
                      <w:lang w:bidi="en-US"/>
                    </w:rPr>
                  </w:pPr>
                  <w:r>
                    <w:rPr>
                      <w:bCs/>
                      <w:sz w:val="21"/>
                      <w:szCs w:val="21"/>
                      <w:lang w:bidi="en-US"/>
                    </w:rPr>
                    <w:t>160μg/m</w:t>
                  </w:r>
                  <w:r>
                    <w:rPr>
                      <w:bCs/>
                      <w:sz w:val="21"/>
                      <w:szCs w:val="21"/>
                      <w:vertAlign w:val="superscript"/>
                      <w:lang w:bidi="en-US"/>
                    </w:rPr>
                    <w:t>3</w:t>
                  </w:r>
                </w:p>
              </w:tc>
              <w:tc>
                <w:tcPr>
                  <w:tcW w:w="3390" w:type="dxa"/>
                  <w:vMerge w:val="continue"/>
                  <w:vAlign w:val="center"/>
                </w:tcPr>
                <w:p w14:paraId="17D5AD64">
                  <w:pPr>
                    <w:adjustRightInd w:val="0"/>
                    <w:snapToGrid w:val="0"/>
                    <w:spacing w:line="320" w:lineRule="exact"/>
                    <w:ind w:firstLine="420"/>
                    <w:jc w:val="center"/>
                    <w:rPr>
                      <w:bCs/>
                      <w:sz w:val="21"/>
                      <w:szCs w:val="21"/>
                      <w:lang w:bidi="en-US"/>
                    </w:rPr>
                  </w:pPr>
                </w:p>
              </w:tc>
            </w:tr>
            <w:tr w14:paraId="696205C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continue"/>
                  <w:vAlign w:val="center"/>
                </w:tcPr>
                <w:p w14:paraId="2B60618E">
                  <w:pPr>
                    <w:adjustRightInd w:val="0"/>
                    <w:snapToGrid w:val="0"/>
                    <w:spacing w:line="320" w:lineRule="exact"/>
                    <w:ind w:firstLine="0" w:firstLineChars="0"/>
                    <w:jc w:val="center"/>
                    <w:rPr>
                      <w:bCs/>
                      <w:sz w:val="21"/>
                      <w:szCs w:val="21"/>
                      <w:lang w:bidi="en-US"/>
                    </w:rPr>
                  </w:pPr>
                </w:p>
              </w:tc>
              <w:tc>
                <w:tcPr>
                  <w:tcW w:w="2051" w:type="dxa"/>
                  <w:vAlign w:val="center"/>
                </w:tcPr>
                <w:p w14:paraId="108286CF">
                  <w:pPr>
                    <w:adjustRightInd w:val="0"/>
                    <w:snapToGrid w:val="0"/>
                    <w:spacing w:line="320" w:lineRule="exact"/>
                    <w:ind w:firstLine="0" w:firstLineChars="0"/>
                    <w:jc w:val="center"/>
                    <w:rPr>
                      <w:bCs/>
                      <w:sz w:val="21"/>
                      <w:szCs w:val="21"/>
                      <w:lang w:bidi="en-US"/>
                    </w:rPr>
                  </w:pPr>
                  <w:r>
                    <w:rPr>
                      <w:bCs/>
                      <w:sz w:val="21"/>
                      <w:szCs w:val="21"/>
                      <w:lang w:bidi="en-US"/>
                    </w:rPr>
                    <w:t>1小时平均</w:t>
                  </w:r>
                </w:p>
              </w:tc>
              <w:tc>
                <w:tcPr>
                  <w:tcW w:w="1348" w:type="dxa"/>
                  <w:vAlign w:val="center"/>
                </w:tcPr>
                <w:p w14:paraId="5DB98F19">
                  <w:pPr>
                    <w:adjustRightInd w:val="0"/>
                    <w:snapToGrid w:val="0"/>
                    <w:spacing w:line="320" w:lineRule="exact"/>
                    <w:ind w:firstLine="0" w:firstLineChars="0"/>
                    <w:jc w:val="center"/>
                    <w:rPr>
                      <w:bCs/>
                      <w:sz w:val="21"/>
                      <w:szCs w:val="21"/>
                      <w:lang w:bidi="en-US"/>
                    </w:rPr>
                  </w:pPr>
                  <w:r>
                    <w:rPr>
                      <w:bCs/>
                      <w:sz w:val="21"/>
                      <w:szCs w:val="21"/>
                      <w:lang w:bidi="en-US"/>
                    </w:rPr>
                    <w:t>200μg/m</w:t>
                  </w:r>
                  <w:r>
                    <w:rPr>
                      <w:bCs/>
                      <w:sz w:val="21"/>
                      <w:szCs w:val="21"/>
                      <w:vertAlign w:val="superscript"/>
                      <w:lang w:bidi="en-US"/>
                    </w:rPr>
                    <w:t>3</w:t>
                  </w:r>
                </w:p>
              </w:tc>
              <w:tc>
                <w:tcPr>
                  <w:tcW w:w="3390" w:type="dxa"/>
                  <w:vMerge w:val="continue"/>
                  <w:vAlign w:val="center"/>
                </w:tcPr>
                <w:p w14:paraId="4F2C757E">
                  <w:pPr>
                    <w:adjustRightInd w:val="0"/>
                    <w:snapToGrid w:val="0"/>
                    <w:spacing w:line="320" w:lineRule="exact"/>
                    <w:ind w:firstLine="420"/>
                    <w:jc w:val="center"/>
                    <w:rPr>
                      <w:bCs/>
                      <w:sz w:val="21"/>
                      <w:szCs w:val="21"/>
                      <w:lang w:bidi="en-US"/>
                    </w:rPr>
                  </w:pPr>
                </w:p>
              </w:tc>
            </w:tr>
            <w:tr w14:paraId="477FFC3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55" w:hRule="atLeast"/>
                <w:jc w:val="center"/>
              </w:trPr>
              <w:tc>
                <w:tcPr>
                  <w:tcW w:w="1375" w:type="dxa"/>
                  <w:vMerge w:val="restart"/>
                  <w:vAlign w:val="center"/>
                </w:tcPr>
                <w:p w14:paraId="28EBB66D">
                  <w:pPr>
                    <w:adjustRightInd w:val="0"/>
                    <w:snapToGrid w:val="0"/>
                    <w:spacing w:line="320" w:lineRule="exact"/>
                    <w:ind w:firstLine="0" w:firstLineChars="0"/>
                    <w:jc w:val="center"/>
                    <w:rPr>
                      <w:bCs/>
                      <w:sz w:val="21"/>
                      <w:szCs w:val="21"/>
                      <w:lang w:bidi="en-US"/>
                    </w:rPr>
                  </w:pPr>
                  <w:r>
                    <w:rPr>
                      <w:rFonts w:hint="eastAsia"/>
                      <w:bCs/>
                      <w:sz w:val="21"/>
                      <w:szCs w:val="21"/>
                      <w:lang w:bidi="en-US"/>
                    </w:rPr>
                    <w:t>总悬浮颗粒物（TSP）</w:t>
                  </w:r>
                </w:p>
              </w:tc>
              <w:tc>
                <w:tcPr>
                  <w:tcW w:w="2051" w:type="dxa"/>
                  <w:vAlign w:val="center"/>
                </w:tcPr>
                <w:p w14:paraId="4C787F76">
                  <w:pPr>
                    <w:adjustRightInd w:val="0"/>
                    <w:snapToGrid w:val="0"/>
                    <w:spacing w:line="320" w:lineRule="exact"/>
                    <w:ind w:firstLine="0" w:firstLineChars="0"/>
                    <w:jc w:val="center"/>
                    <w:rPr>
                      <w:bCs/>
                      <w:sz w:val="21"/>
                      <w:szCs w:val="21"/>
                      <w:lang w:bidi="en-US"/>
                    </w:rPr>
                  </w:pPr>
                  <w:r>
                    <w:rPr>
                      <w:bCs/>
                      <w:sz w:val="21"/>
                      <w:szCs w:val="21"/>
                      <w:lang w:bidi="en-US"/>
                    </w:rPr>
                    <w:t>年平均</w:t>
                  </w:r>
                </w:p>
              </w:tc>
              <w:tc>
                <w:tcPr>
                  <w:tcW w:w="1348" w:type="dxa"/>
                  <w:vAlign w:val="center"/>
                </w:tcPr>
                <w:p w14:paraId="3B8A8067">
                  <w:pPr>
                    <w:adjustRightInd w:val="0"/>
                    <w:snapToGrid w:val="0"/>
                    <w:spacing w:line="320" w:lineRule="exact"/>
                    <w:ind w:firstLine="0" w:firstLineChars="0"/>
                    <w:jc w:val="center"/>
                    <w:rPr>
                      <w:bCs/>
                      <w:sz w:val="21"/>
                      <w:szCs w:val="21"/>
                      <w:lang w:bidi="en-US"/>
                    </w:rPr>
                  </w:pPr>
                  <w:r>
                    <w:rPr>
                      <w:rFonts w:hint="eastAsia"/>
                      <w:bCs/>
                      <w:sz w:val="21"/>
                      <w:szCs w:val="21"/>
                      <w:lang w:bidi="en-US"/>
                    </w:rPr>
                    <w:t>200</w:t>
                  </w:r>
                  <w:r>
                    <w:rPr>
                      <w:bCs/>
                      <w:sz w:val="21"/>
                      <w:szCs w:val="21"/>
                      <w:lang w:bidi="en-US"/>
                    </w:rPr>
                    <w:t>μg/m</w:t>
                  </w:r>
                  <w:r>
                    <w:rPr>
                      <w:bCs/>
                      <w:sz w:val="21"/>
                      <w:szCs w:val="21"/>
                      <w:vertAlign w:val="superscript"/>
                      <w:lang w:bidi="en-US"/>
                    </w:rPr>
                    <w:t>3</w:t>
                  </w:r>
                </w:p>
              </w:tc>
              <w:tc>
                <w:tcPr>
                  <w:tcW w:w="3390" w:type="dxa"/>
                  <w:vMerge w:val="continue"/>
                  <w:vAlign w:val="center"/>
                </w:tcPr>
                <w:p w14:paraId="0CC44A07">
                  <w:pPr>
                    <w:adjustRightInd w:val="0"/>
                    <w:snapToGrid w:val="0"/>
                    <w:spacing w:line="320" w:lineRule="exact"/>
                    <w:ind w:firstLine="0" w:firstLineChars="0"/>
                    <w:jc w:val="center"/>
                    <w:rPr>
                      <w:bCs/>
                      <w:sz w:val="21"/>
                      <w:szCs w:val="21"/>
                      <w:lang w:bidi="en-US"/>
                    </w:rPr>
                  </w:pPr>
                </w:p>
              </w:tc>
            </w:tr>
            <w:tr w14:paraId="7A5683E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283" w:hRule="atLeast"/>
                <w:jc w:val="center"/>
              </w:trPr>
              <w:tc>
                <w:tcPr>
                  <w:tcW w:w="1375" w:type="dxa"/>
                  <w:vMerge w:val="continue"/>
                  <w:vAlign w:val="center"/>
                </w:tcPr>
                <w:p w14:paraId="31C950FA">
                  <w:pPr>
                    <w:adjustRightInd w:val="0"/>
                    <w:snapToGrid w:val="0"/>
                    <w:spacing w:line="320" w:lineRule="exact"/>
                    <w:ind w:firstLine="0" w:firstLineChars="0"/>
                    <w:jc w:val="center"/>
                    <w:rPr>
                      <w:bCs/>
                      <w:sz w:val="21"/>
                      <w:szCs w:val="21"/>
                      <w:lang w:bidi="en-US"/>
                    </w:rPr>
                  </w:pPr>
                </w:p>
              </w:tc>
              <w:tc>
                <w:tcPr>
                  <w:tcW w:w="2051" w:type="dxa"/>
                  <w:vAlign w:val="center"/>
                </w:tcPr>
                <w:p w14:paraId="26E45937">
                  <w:pPr>
                    <w:adjustRightInd w:val="0"/>
                    <w:snapToGrid w:val="0"/>
                    <w:spacing w:line="320" w:lineRule="exact"/>
                    <w:ind w:firstLine="0" w:firstLineChars="0"/>
                    <w:jc w:val="center"/>
                    <w:rPr>
                      <w:bCs/>
                      <w:sz w:val="21"/>
                      <w:szCs w:val="21"/>
                      <w:lang w:bidi="en-US"/>
                    </w:rPr>
                  </w:pPr>
                  <w:r>
                    <w:rPr>
                      <w:bCs/>
                      <w:sz w:val="21"/>
                      <w:szCs w:val="21"/>
                      <w:lang w:bidi="en-US"/>
                    </w:rPr>
                    <w:t>24小时平均</w:t>
                  </w:r>
                </w:p>
              </w:tc>
              <w:tc>
                <w:tcPr>
                  <w:tcW w:w="1348" w:type="dxa"/>
                  <w:vAlign w:val="center"/>
                </w:tcPr>
                <w:p w14:paraId="4EBD8071">
                  <w:pPr>
                    <w:adjustRightInd w:val="0"/>
                    <w:snapToGrid w:val="0"/>
                    <w:spacing w:line="320" w:lineRule="exact"/>
                    <w:ind w:firstLine="0" w:firstLineChars="0"/>
                    <w:jc w:val="center"/>
                    <w:rPr>
                      <w:bCs/>
                      <w:sz w:val="21"/>
                      <w:szCs w:val="21"/>
                      <w:lang w:bidi="en-US"/>
                    </w:rPr>
                  </w:pPr>
                  <w:r>
                    <w:rPr>
                      <w:rFonts w:hint="eastAsia"/>
                      <w:bCs/>
                      <w:sz w:val="21"/>
                      <w:szCs w:val="21"/>
                      <w:lang w:bidi="en-US"/>
                    </w:rPr>
                    <w:t>3</w:t>
                  </w:r>
                  <w:r>
                    <w:rPr>
                      <w:bCs/>
                      <w:sz w:val="21"/>
                      <w:szCs w:val="21"/>
                      <w:lang w:bidi="en-US"/>
                    </w:rPr>
                    <w:t>00μg/m</w:t>
                  </w:r>
                  <w:r>
                    <w:rPr>
                      <w:bCs/>
                      <w:sz w:val="21"/>
                      <w:szCs w:val="21"/>
                      <w:vertAlign w:val="superscript"/>
                      <w:lang w:bidi="en-US"/>
                    </w:rPr>
                    <w:t>3</w:t>
                  </w:r>
                </w:p>
              </w:tc>
              <w:tc>
                <w:tcPr>
                  <w:tcW w:w="3390" w:type="dxa"/>
                  <w:vMerge w:val="continue"/>
                  <w:vAlign w:val="center"/>
                </w:tcPr>
                <w:p w14:paraId="5BE08BE4">
                  <w:pPr>
                    <w:adjustRightInd w:val="0"/>
                    <w:snapToGrid w:val="0"/>
                    <w:spacing w:line="320" w:lineRule="exact"/>
                    <w:ind w:firstLine="0" w:firstLineChars="0"/>
                    <w:jc w:val="center"/>
                    <w:rPr>
                      <w:bCs/>
                      <w:sz w:val="21"/>
                      <w:szCs w:val="21"/>
                      <w:lang w:bidi="en-US"/>
                    </w:rPr>
                  </w:pPr>
                </w:p>
              </w:tc>
            </w:tr>
          </w:tbl>
          <w:p w14:paraId="35862B9B">
            <w:pPr>
              <w:keepNext/>
              <w:keepLines/>
              <w:ind w:firstLine="0" w:firstLineChars="0"/>
              <w:jc w:val="left"/>
              <w:outlineLvl w:val="2"/>
              <w:rPr>
                <w:b/>
                <w:bCs/>
                <w:sz w:val="28"/>
                <w:szCs w:val="32"/>
              </w:rPr>
            </w:pPr>
            <w:r>
              <w:rPr>
                <w:b/>
                <w:bCs/>
                <w:sz w:val="28"/>
                <w:szCs w:val="32"/>
              </w:rPr>
              <w:t>3.1.2大气环境质量现状</w:t>
            </w:r>
          </w:p>
          <w:p w14:paraId="59CD1CB1">
            <w:pPr>
              <w:pStyle w:val="142"/>
              <w:ind w:firstLine="480"/>
              <w:rPr>
                <w:color w:val="auto"/>
              </w:rPr>
            </w:pPr>
            <w:r>
              <w:rPr>
                <w:rFonts w:hint="eastAsia"/>
                <w:color w:val="auto"/>
              </w:rPr>
              <w:t>（1）</w:t>
            </w:r>
            <w:r>
              <w:rPr>
                <w:color w:val="auto"/>
              </w:rPr>
              <w:t>项目区域现状调查</w:t>
            </w:r>
          </w:p>
          <w:p w14:paraId="4F91A24E">
            <w:pPr>
              <w:adjustRightInd w:val="0"/>
              <w:snapToGrid w:val="0"/>
              <w:ind w:firstLine="480"/>
            </w:pPr>
            <w:r>
              <w:t>本评价根据福州市闽侯县人民政府网站公布的</w:t>
            </w:r>
            <w:r>
              <w:rPr>
                <w:rFonts w:hint="eastAsia"/>
                <w:lang w:val="en-US" w:eastAsia="zh-CN"/>
              </w:rPr>
              <w:t>2025年1月</w:t>
            </w:r>
            <w:r>
              <w:rPr>
                <w:rFonts w:hint="eastAsia" w:ascii="Times New Roman" w:eastAsia="宋体"/>
                <w:lang w:val="en-US" w:eastAsia="zh-CN"/>
              </w:rPr>
              <w:t>份</w:t>
            </w:r>
            <w:r>
              <w:rPr>
                <w:rFonts w:hint="eastAsia"/>
                <w:lang w:val="en-US" w:eastAsia="zh-CN"/>
              </w:rPr>
              <w:t>至</w:t>
            </w:r>
            <w:r>
              <w:rPr>
                <w:rFonts w:hint="eastAsia"/>
              </w:rPr>
              <w:t>2026年1月</w:t>
            </w:r>
            <w:r>
              <w:rPr>
                <w:rFonts w:hint="eastAsia" w:ascii="Times New Roman" w:eastAsia="宋体"/>
                <w:lang w:val="en-US" w:eastAsia="zh-CN"/>
              </w:rPr>
              <w:t>份</w:t>
            </w:r>
            <w:r>
              <w:rPr>
                <w:rFonts w:hint="eastAsia"/>
              </w:rPr>
              <w:t>闽侯县空气质量</w:t>
            </w:r>
            <w:r>
              <w:rPr>
                <w:rFonts w:hint="eastAsia"/>
                <w:lang w:val="en-US" w:eastAsia="zh-CN"/>
              </w:rPr>
              <w:t>情况</w:t>
            </w:r>
            <w:r>
              <w:t>，对闽侯县进行大气监测的数据来说明项目所在地空气质量现状，详见图3.1-1网站截图。</w:t>
            </w:r>
          </w:p>
          <w:p w14:paraId="2A94463C">
            <w:pPr>
              <w:adjustRightInd w:val="0"/>
              <w:snapToGrid w:val="0"/>
              <w:ind w:firstLine="0" w:firstLineChars="0"/>
              <w:jc w:val="center"/>
            </w:pPr>
            <w:r>
              <w:drawing>
                <wp:inline distT="0" distB="0" distL="114300" distR="114300">
                  <wp:extent cx="4857750" cy="2010410"/>
                  <wp:effectExtent l="0" t="0" r="0" b="8890"/>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25"/>
                          <a:stretch>
                            <a:fillRect/>
                          </a:stretch>
                        </pic:blipFill>
                        <pic:spPr>
                          <a:xfrm>
                            <a:off x="0" y="0"/>
                            <a:ext cx="4857750" cy="2010410"/>
                          </a:xfrm>
                          <a:prstGeom prst="rect">
                            <a:avLst/>
                          </a:prstGeom>
                          <a:noFill/>
                          <a:ln>
                            <a:noFill/>
                          </a:ln>
                        </pic:spPr>
                      </pic:pic>
                    </a:graphicData>
                  </a:graphic>
                </wp:inline>
              </w:drawing>
            </w:r>
          </w:p>
          <w:p w14:paraId="6EE07C01">
            <w:pPr>
              <w:ind w:left="0" w:leftChars="0" w:right="0" w:rightChars="0" w:firstLine="0" w:firstLineChars="0"/>
              <w:jc w:val="center"/>
            </w:pPr>
            <w:r>
              <w:drawing>
                <wp:inline distT="0" distB="0" distL="114300" distR="114300">
                  <wp:extent cx="4631055" cy="2087880"/>
                  <wp:effectExtent l="0" t="0" r="17145" b="7620"/>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26"/>
                          <a:stretch>
                            <a:fillRect/>
                          </a:stretch>
                        </pic:blipFill>
                        <pic:spPr>
                          <a:xfrm>
                            <a:off x="0" y="0"/>
                            <a:ext cx="4631055" cy="2087880"/>
                          </a:xfrm>
                          <a:prstGeom prst="rect">
                            <a:avLst/>
                          </a:prstGeom>
                          <a:noFill/>
                          <a:ln>
                            <a:noFill/>
                          </a:ln>
                        </pic:spPr>
                      </pic:pic>
                    </a:graphicData>
                  </a:graphic>
                </wp:inline>
              </w:drawing>
            </w:r>
            <w:r>
              <w:drawing>
                <wp:inline distT="0" distB="0" distL="114300" distR="114300">
                  <wp:extent cx="4565015" cy="2087880"/>
                  <wp:effectExtent l="0" t="0" r="6985" b="762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27"/>
                          <a:stretch>
                            <a:fillRect/>
                          </a:stretch>
                        </pic:blipFill>
                        <pic:spPr>
                          <a:xfrm>
                            <a:off x="0" y="0"/>
                            <a:ext cx="4565015" cy="2087880"/>
                          </a:xfrm>
                          <a:prstGeom prst="rect">
                            <a:avLst/>
                          </a:prstGeom>
                          <a:noFill/>
                          <a:ln>
                            <a:noFill/>
                          </a:ln>
                        </pic:spPr>
                      </pic:pic>
                    </a:graphicData>
                  </a:graphic>
                </wp:inline>
              </w:drawing>
            </w:r>
          </w:p>
          <w:p w14:paraId="33303E1C">
            <w:pPr>
              <w:ind w:left="0" w:leftChars="0" w:right="0" w:rightChars="0" w:firstLine="0" w:firstLineChars="0"/>
              <w:jc w:val="center"/>
            </w:pPr>
            <w:r>
              <w:drawing>
                <wp:inline distT="0" distB="0" distL="114300" distR="114300">
                  <wp:extent cx="4622800" cy="2087880"/>
                  <wp:effectExtent l="0" t="0" r="6350" b="762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8"/>
                          <a:stretch>
                            <a:fillRect/>
                          </a:stretch>
                        </pic:blipFill>
                        <pic:spPr>
                          <a:xfrm>
                            <a:off x="0" y="0"/>
                            <a:ext cx="4622800" cy="2087880"/>
                          </a:xfrm>
                          <a:prstGeom prst="rect">
                            <a:avLst/>
                          </a:prstGeom>
                          <a:noFill/>
                          <a:ln>
                            <a:noFill/>
                          </a:ln>
                        </pic:spPr>
                      </pic:pic>
                    </a:graphicData>
                  </a:graphic>
                </wp:inline>
              </w:drawing>
            </w:r>
            <w:r>
              <w:drawing>
                <wp:inline distT="0" distB="0" distL="114300" distR="114300">
                  <wp:extent cx="4469130" cy="2087880"/>
                  <wp:effectExtent l="0" t="0" r="7620" b="762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29"/>
                          <a:stretch>
                            <a:fillRect/>
                          </a:stretch>
                        </pic:blipFill>
                        <pic:spPr>
                          <a:xfrm>
                            <a:off x="0" y="0"/>
                            <a:ext cx="4469130" cy="2087880"/>
                          </a:xfrm>
                          <a:prstGeom prst="rect">
                            <a:avLst/>
                          </a:prstGeom>
                          <a:noFill/>
                          <a:ln>
                            <a:noFill/>
                          </a:ln>
                        </pic:spPr>
                      </pic:pic>
                    </a:graphicData>
                  </a:graphic>
                </wp:inline>
              </w:drawing>
            </w:r>
            <w:r>
              <w:drawing>
                <wp:inline distT="0" distB="0" distL="114300" distR="114300">
                  <wp:extent cx="4571365" cy="2087880"/>
                  <wp:effectExtent l="0" t="0" r="635" b="762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30"/>
                          <a:stretch>
                            <a:fillRect/>
                          </a:stretch>
                        </pic:blipFill>
                        <pic:spPr>
                          <a:xfrm>
                            <a:off x="0" y="0"/>
                            <a:ext cx="4571365" cy="2087880"/>
                          </a:xfrm>
                          <a:prstGeom prst="rect">
                            <a:avLst/>
                          </a:prstGeom>
                          <a:noFill/>
                          <a:ln>
                            <a:noFill/>
                          </a:ln>
                        </pic:spPr>
                      </pic:pic>
                    </a:graphicData>
                  </a:graphic>
                </wp:inline>
              </w:drawing>
            </w:r>
            <w:r>
              <w:drawing>
                <wp:inline distT="0" distB="0" distL="114300" distR="114300">
                  <wp:extent cx="4625975" cy="2087880"/>
                  <wp:effectExtent l="0" t="0" r="3175" b="762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31"/>
                          <a:stretch>
                            <a:fillRect/>
                          </a:stretch>
                        </pic:blipFill>
                        <pic:spPr>
                          <a:xfrm>
                            <a:off x="0" y="0"/>
                            <a:ext cx="4625975" cy="2087880"/>
                          </a:xfrm>
                          <a:prstGeom prst="rect">
                            <a:avLst/>
                          </a:prstGeom>
                          <a:noFill/>
                          <a:ln>
                            <a:noFill/>
                          </a:ln>
                        </pic:spPr>
                      </pic:pic>
                    </a:graphicData>
                  </a:graphic>
                </wp:inline>
              </w:drawing>
            </w:r>
            <w:r>
              <w:drawing>
                <wp:inline distT="0" distB="0" distL="114300" distR="114300">
                  <wp:extent cx="4455795" cy="2087880"/>
                  <wp:effectExtent l="0" t="0" r="1905" b="762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32"/>
                          <a:stretch>
                            <a:fillRect/>
                          </a:stretch>
                        </pic:blipFill>
                        <pic:spPr>
                          <a:xfrm>
                            <a:off x="0" y="0"/>
                            <a:ext cx="4455795" cy="2087880"/>
                          </a:xfrm>
                          <a:prstGeom prst="rect">
                            <a:avLst/>
                          </a:prstGeom>
                          <a:noFill/>
                          <a:ln>
                            <a:noFill/>
                          </a:ln>
                        </pic:spPr>
                      </pic:pic>
                    </a:graphicData>
                  </a:graphic>
                </wp:inline>
              </w:drawing>
            </w:r>
            <w:r>
              <w:drawing>
                <wp:inline distT="0" distB="0" distL="114300" distR="114300">
                  <wp:extent cx="4535170" cy="2087880"/>
                  <wp:effectExtent l="0" t="0" r="17780" b="762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33"/>
                          <a:stretch>
                            <a:fillRect/>
                          </a:stretch>
                        </pic:blipFill>
                        <pic:spPr>
                          <a:xfrm>
                            <a:off x="0" y="0"/>
                            <a:ext cx="4535170" cy="2087880"/>
                          </a:xfrm>
                          <a:prstGeom prst="rect">
                            <a:avLst/>
                          </a:prstGeom>
                          <a:noFill/>
                          <a:ln>
                            <a:noFill/>
                          </a:ln>
                        </pic:spPr>
                      </pic:pic>
                    </a:graphicData>
                  </a:graphic>
                </wp:inline>
              </w:drawing>
            </w:r>
            <w:r>
              <w:drawing>
                <wp:inline distT="0" distB="0" distL="114300" distR="114300">
                  <wp:extent cx="4720590" cy="2087880"/>
                  <wp:effectExtent l="0" t="0" r="3810" b="7620"/>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34"/>
                          <a:stretch>
                            <a:fillRect/>
                          </a:stretch>
                        </pic:blipFill>
                        <pic:spPr>
                          <a:xfrm>
                            <a:off x="0" y="0"/>
                            <a:ext cx="4720590" cy="2087880"/>
                          </a:xfrm>
                          <a:prstGeom prst="rect">
                            <a:avLst/>
                          </a:prstGeom>
                          <a:noFill/>
                          <a:ln>
                            <a:noFill/>
                          </a:ln>
                        </pic:spPr>
                      </pic:pic>
                    </a:graphicData>
                  </a:graphic>
                </wp:inline>
              </w:drawing>
            </w:r>
            <w:r>
              <w:drawing>
                <wp:inline distT="0" distB="0" distL="114300" distR="114300">
                  <wp:extent cx="4796155" cy="2087880"/>
                  <wp:effectExtent l="0" t="0" r="4445" b="7620"/>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35"/>
                          <a:stretch>
                            <a:fillRect/>
                          </a:stretch>
                        </pic:blipFill>
                        <pic:spPr>
                          <a:xfrm>
                            <a:off x="0" y="0"/>
                            <a:ext cx="4796155" cy="2087880"/>
                          </a:xfrm>
                          <a:prstGeom prst="rect">
                            <a:avLst/>
                          </a:prstGeom>
                          <a:noFill/>
                          <a:ln>
                            <a:noFill/>
                          </a:ln>
                        </pic:spPr>
                      </pic:pic>
                    </a:graphicData>
                  </a:graphic>
                </wp:inline>
              </w:drawing>
            </w:r>
            <w:r>
              <w:drawing>
                <wp:inline distT="0" distB="0" distL="114300" distR="114300">
                  <wp:extent cx="4744085" cy="2087880"/>
                  <wp:effectExtent l="0" t="0" r="18415" b="7620"/>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36"/>
                          <a:stretch>
                            <a:fillRect/>
                          </a:stretch>
                        </pic:blipFill>
                        <pic:spPr>
                          <a:xfrm>
                            <a:off x="0" y="0"/>
                            <a:ext cx="4744085" cy="2087880"/>
                          </a:xfrm>
                          <a:prstGeom prst="rect">
                            <a:avLst/>
                          </a:prstGeom>
                          <a:noFill/>
                          <a:ln>
                            <a:noFill/>
                          </a:ln>
                        </pic:spPr>
                      </pic:pic>
                    </a:graphicData>
                  </a:graphic>
                </wp:inline>
              </w:drawing>
            </w:r>
            <w:r>
              <w:drawing>
                <wp:inline distT="0" distB="0" distL="114300" distR="114300">
                  <wp:extent cx="4678045" cy="2087880"/>
                  <wp:effectExtent l="0" t="0" r="8255" b="7620"/>
                  <wp:docPr id="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7"/>
                          <pic:cNvPicPr>
                            <a:picLocks noChangeAspect="1"/>
                          </pic:cNvPicPr>
                        </pic:nvPicPr>
                        <pic:blipFill>
                          <a:blip r:embed="rId37"/>
                          <a:stretch>
                            <a:fillRect/>
                          </a:stretch>
                        </pic:blipFill>
                        <pic:spPr>
                          <a:xfrm>
                            <a:off x="0" y="0"/>
                            <a:ext cx="4678045" cy="2087880"/>
                          </a:xfrm>
                          <a:prstGeom prst="rect">
                            <a:avLst/>
                          </a:prstGeom>
                          <a:noFill/>
                          <a:ln>
                            <a:noFill/>
                          </a:ln>
                        </pic:spPr>
                      </pic:pic>
                    </a:graphicData>
                  </a:graphic>
                </wp:inline>
              </w:drawing>
            </w:r>
          </w:p>
          <w:p w14:paraId="25A8C0BA">
            <w:pPr>
              <w:ind w:left="0" w:leftChars="0" w:right="0" w:rightChars="0" w:firstLine="0" w:firstLineChars="0"/>
              <w:jc w:val="center"/>
              <w:rPr>
                <w:b/>
                <w:bCs/>
                <w:kern w:val="44"/>
                <w:szCs w:val="20"/>
              </w:rPr>
            </w:pPr>
            <w:r>
              <w:rPr>
                <w:rFonts w:hint="eastAsia"/>
                <w:b/>
                <w:bCs/>
                <w:kern w:val="0"/>
              </w:rPr>
              <w:t xml:space="preserve">图3.1-1  </w:t>
            </w:r>
            <w:r>
              <w:rPr>
                <w:b/>
                <w:bCs/>
                <w:kern w:val="0"/>
                <w:szCs w:val="20"/>
              </w:rPr>
              <w:t>闽侯县人民政府</w:t>
            </w:r>
            <w:r>
              <w:rPr>
                <w:b/>
                <w:bCs/>
                <w:kern w:val="44"/>
                <w:szCs w:val="20"/>
              </w:rPr>
              <w:t>网站截图</w:t>
            </w:r>
          </w:p>
          <w:p w14:paraId="0FC2A557">
            <w:pPr>
              <w:ind w:firstLine="480"/>
            </w:pPr>
            <w:r>
              <w:t>闽侯县</w:t>
            </w:r>
            <w:r>
              <w:rPr>
                <w:rFonts w:hint="eastAsia"/>
                <w:lang w:val="en-US" w:eastAsia="zh-CN"/>
              </w:rPr>
              <w:t>2025年1月份至</w:t>
            </w:r>
            <w:r>
              <w:rPr>
                <w:rFonts w:hint="eastAsia"/>
              </w:rPr>
              <w:t>2026</w:t>
            </w:r>
            <w:r>
              <w:t>年</w:t>
            </w:r>
            <w:r>
              <w:rPr>
                <w:rFonts w:hint="eastAsia"/>
              </w:rPr>
              <w:t>1</w:t>
            </w:r>
            <w:r>
              <w:t>月</w:t>
            </w:r>
            <w:r>
              <w:rPr>
                <w:rFonts w:hint="eastAsia" w:ascii="Times New Roman" w:eastAsia="宋体"/>
                <w:lang w:val="en-US" w:eastAsia="zh-CN"/>
              </w:rPr>
              <w:t>份</w:t>
            </w:r>
            <w:r>
              <w:t>县城空气质量SO</w:t>
            </w:r>
            <w:r>
              <w:rPr>
                <w:vertAlign w:val="subscript"/>
              </w:rPr>
              <w:t>2</w:t>
            </w:r>
            <w:r>
              <w:t>、NO</w:t>
            </w:r>
            <w:r>
              <w:rPr>
                <w:vertAlign w:val="subscript"/>
              </w:rPr>
              <w:t>2</w:t>
            </w:r>
            <w:r>
              <w:t>、PM</w:t>
            </w:r>
            <w:r>
              <w:rPr>
                <w:vertAlign w:val="subscript"/>
              </w:rPr>
              <w:t>10</w:t>
            </w:r>
            <w:r>
              <w:t>、CO、O</w:t>
            </w:r>
            <w:r>
              <w:rPr>
                <w:vertAlign w:val="subscript"/>
              </w:rPr>
              <w:t>3</w:t>
            </w:r>
            <w:r>
              <w:t>、PM</w:t>
            </w:r>
            <w:r>
              <w:rPr>
                <w:vertAlign w:val="subscript"/>
              </w:rPr>
              <w:t>2.5</w:t>
            </w:r>
            <w:r>
              <w:t>等6项污染物浓度指标的24小时均值（其中O</w:t>
            </w:r>
            <w:r>
              <w:rPr>
                <w:vertAlign w:val="subscript"/>
              </w:rPr>
              <w:t>3</w:t>
            </w:r>
            <w:r>
              <w:t>为日最大8小时平均）</w:t>
            </w:r>
            <w:r>
              <w:rPr>
                <w:rFonts w:hint="eastAsia"/>
              </w:rPr>
              <w:t>均</w:t>
            </w:r>
            <w:r>
              <w:t>达到国家环境空气质量标准（GB 3095-2012）一级水平。</w:t>
            </w:r>
          </w:p>
          <w:p w14:paraId="252F70E0">
            <w:pPr>
              <w:ind w:firstLine="480"/>
              <w:jc w:val="left"/>
            </w:pPr>
            <w:r>
              <w:t>由此可分析，评价区域环境空气质量现状良好，可满足《环境空气质量标准》</w:t>
            </w:r>
            <w:r>
              <w:rPr>
                <w:rFonts w:hint="eastAsia"/>
              </w:rPr>
              <w:t>（</w:t>
            </w:r>
            <w:r>
              <w:t>GB3095-2012</w:t>
            </w:r>
            <w:r>
              <w:rPr>
                <w:rFonts w:hint="eastAsia"/>
              </w:rPr>
              <w:t>）</w:t>
            </w:r>
            <w:r>
              <w:t>中二级标准限值要求和相关标准要求。</w:t>
            </w:r>
          </w:p>
          <w:p w14:paraId="2EC30C36">
            <w:pPr>
              <w:ind w:firstLine="480"/>
            </w:pPr>
            <w:r>
              <w:rPr>
                <w:rFonts w:hint="eastAsia"/>
              </w:rPr>
              <w:t>（2）</w:t>
            </w:r>
            <w:r>
              <w:t>引用资料的有效性分析</w:t>
            </w:r>
          </w:p>
          <w:p w14:paraId="466AE46D">
            <w:pPr>
              <w:ind w:firstLine="480"/>
              <w:jc w:val="left"/>
            </w:pPr>
            <w:r>
              <w:rPr>
                <w:rFonts w:hint="eastAsia"/>
              </w:rPr>
              <w:t>根据《环境影响评价技术导则 大气环境》（HJ2.2-2018）的6.2.1.2要求：“大气环境质量现状调查可采用评价范围内国家或地方环境空气质量监测网中</w:t>
            </w:r>
            <w:r>
              <w:rPr>
                <w:rFonts w:hint="eastAsia"/>
                <w:highlight w:val="none"/>
              </w:rPr>
              <w:t>评价基准年连续1年的监测数据，或采</w:t>
            </w:r>
            <w:r>
              <w:rPr>
                <w:rFonts w:hint="eastAsia"/>
              </w:rPr>
              <w:t>用生态环境主管部门发布的环境空气质量现状数据”，本次评价选取福州市闽侯县人民政府网址发布环境空气质量和环境状况信息，符合《环境影响评价技术导则 大气环境》（HJ2.2-2018）的要求，环境现状监测数据可行。</w:t>
            </w:r>
          </w:p>
          <w:p w14:paraId="27D217DC">
            <w:pPr>
              <w:ind w:firstLine="480"/>
              <w:rPr>
                <w:rFonts w:ascii="宋体" w:hAnsi="宋体" w:cs="宋体"/>
              </w:rPr>
            </w:pPr>
            <w:r>
              <w:rPr>
                <w:rFonts w:hint="eastAsia"/>
              </w:rPr>
              <w:t>（3）</w:t>
            </w:r>
            <w:r>
              <w:rPr>
                <w:rFonts w:ascii="宋体" w:hAnsi="宋体" w:cs="宋体"/>
              </w:rPr>
              <w:t>其他污染物质量现状</w:t>
            </w:r>
          </w:p>
          <w:p w14:paraId="763D045B">
            <w:pPr>
              <w:ind w:firstLine="480"/>
            </w:pPr>
            <w:r>
              <w:rPr>
                <w:rFonts w:hint="eastAsia"/>
              </w:rPr>
              <w:t>本项目废气污染物特征因子为总悬浮颗粒物TSP，</w:t>
            </w:r>
            <w:r>
              <w:rPr>
                <w:rFonts w:hint="eastAsia" w:ascii="宋体" w:hAnsi="宋体" w:cs="宋体"/>
              </w:rPr>
              <w:t>为了解评价区域</w:t>
            </w:r>
            <w:r>
              <w:rPr>
                <w:rFonts w:hint="eastAsia"/>
              </w:rPr>
              <w:t>总悬浮颗粒物TSP</w:t>
            </w:r>
            <w:r>
              <w:rPr>
                <w:rFonts w:hint="eastAsia" w:ascii="宋体" w:hAnsi="宋体" w:cs="宋体"/>
              </w:rPr>
              <w:t>环境空气现状，本次评价引用场地出租方</w:t>
            </w:r>
            <w:r>
              <w:rPr>
                <w:rFonts w:hint="eastAsia"/>
              </w:rPr>
              <w:t>福州倍丰实业有限公司于2025年11月24日委托福州中一检测科技有限公司对厂区进行监测的数据，报告编号：FZHJ2511014，详见附件7。监测点位见图3.1-2及表3.1-2。</w:t>
            </w:r>
          </w:p>
          <w:p w14:paraId="19DF4ACF">
            <w:pPr>
              <w:bidi w:val="0"/>
              <w:ind w:left="0" w:leftChars="0" w:right="0" w:rightChars="0" w:firstLine="0" w:firstLineChars="0"/>
              <w:jc w:val="center"/>
            </w:pPr>
            <w:r>
              <w:rPr>
                <w:rFonts w:hint="default" w:ascii="Times New Roman" w:hAnsi="Times New Roman" w:eastAsia="宋体" w:cs="Times New Roman"/>
                <w:b/>
                <w:bCs/>
                <w:color w:val="auto"/>
                <w:sz w:val="24"/>
                <w:lang w:val="en-US" w:eastAsia="zh-CN"/>
              </w:rPr>
              <w:t>删除所有涉及隐私部分内容</w:t>
            </w:r>
          </w:p>
          <w:p w14:paraId="46FC41D7">
            <w:pPr>
              <w:spacing w:line="240" w:lineRule="auto"/>
              <w:ind w:firstLine="0" w:firstLineChars="0"/>
              <w:jc w:val="center"/>
              <w:rPr>
                <w:rFonts w:cs="宋体"/>
                <w:snapToGrid w:val="0"/>
                <w:color w:val="000000"/>
              </w:rPr>
            </w:pPr>
            <w:r>
              <w:rPr>
                <w:rFonts w:hint="eastAsia" w:cs="宋体"/>
                <w:b/>
                <w:bCs/>
                <w:snapToGrid w:val="0"/>
                <w:color w:val="000000"/>
              </w:rPr>
              <w:t>图3.1-2   大气环境现状引用监测点位图</w:t>
            </w:r>
          </w:p>
          <w:p w14:paraId="04DB3978">
            <w:pPr>
              <w:kinsoku w:val="0"/>
              <w:autoSpaceDE w:val="0"/>
              <w:autoSpaceDN w:val="0"/>
              <w:adjustRightInd w:val="0"/>
              <w:snapToGrid w:val="0"/>
              <w:spacing w:before="120" w:beforeLines="50" w:line="224" w:lineRule="auto"/>
              <w:ind w:firstLine="0" w:firstLineChars="0"/>
              <w:jc w:val="center"/>
              <w:textAlignment w:val="baseline"/>
              <w:rPr>
                <w:b/>
              </w:rPr>
            </w:pPr>
            <w:r>
              <w:rPr>
                <w:rFonts w:hint="eastAsia"/>
                <w:b/>
              </w:rPr>
              <w:t>表 3.1-2  项目引用大气环境现状监测点位基本信息表</w:t>
            </w:r>
          </w:p>
          <w:tbl>
            <w:tblPr>
              <w:tblStyle w:val="31"/>
              <w:tblW w:w="827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4"/>
              <w:gridCol w:w="1365"/>
              <w:gridCol w:w="2307"/>
              <w:gridCol w:w="2069"/>
            </w:tblGrid>
            <w:tr w14:paraId="44D62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4" w:type="dxa"/>
                  <w:tcBorders>
                    <w:top w:val="single" w:color="auto" w:sz="12" w:space="0"/>
                    <w:left w:val="nil"/>
                  </w:tcBorders>
                </w:tcPr>
                <w:p w14:paraId="6180271D">
                  <w:pPr>
                    <w:adjustRightInd w:val="0"/>
                    <w:snapToGrid w:val="0"/>
                    <w:spacing w:line="240" w:lineRule="auto"/>
                    <w:ind w:firstLine="0" w:firstLineChars="0"/>
                    <w:jc w:val="center"/>
                    <w:rPr>
                      <w:b/>
                      <w:sz w:val="21"/>
                      <w:szCs w:val="21"/>
                      <w:lang w:bidi="en-US"/>
                    </w:rPr>
                  </w:pPr>
                  <w:r>
                    <w:rPr>
                      <w:rFonts w:hint="eastAsia"/>
                      <w:b/>
                      <w:sz w:val="21"/>
                      <w:szCs w:val="21"/>
                      <w:lang w:bidi="en-US"/>
                    </w:rPr>
                    <w:t>监测点位</w:t>
                  </w:r>
                </w:p>
              </w:tc>
              <w:tc>
                <w:tcPr>
                  <w:tcW w:w="1365" w:type="dxa"/>
                  <w:tcBorders>
                    <w:top w:val="single" w:color="auto" w:sz="12" w:space="0"/>
                  </w:tcBorders>
                </w:tcPr>
                <w:p w14:paraId="20E93A35">
                  <w:pPr>
                    <w:adjustRightInd w:val="0"/>
                    <w:snapToGrid w:val="0"/>
                    <w:spacing w:line="240" w:lineRule="auto"/>
                    <w:ind w:firstLine="0" w:firstLineChars="0"/>
                    <w:jc w:val="center"/>
                    <w:rPr>
                      <w:b/>
                      <w:sz w:val="21"/>
                      <w:szCs w:val="21"/>
                      <w:lang w:bidi="en-US"/>
                    </w:rPr>
                  </w:pPr>
                  <w:r>
                    <w:rPr>
                      <w:rFonts w:hint="eastAsia"/>
                      <w:b/>
                      <w:sz w:val="21"/>
                      <w:szCs w:val="21"/>
                      <w:lang w:bidi="en-US"/>
                    </w:rPr>
                    <w:t>监测因子</w:t>
                  </w:r>
                </w:p>
              </w:tc>
              <w:tc>
                <w:tcPr>
                  <w:tcW w:w="2307" w:type="dxa"/>
                  <w:tcBorders>
                    <w:top w:val="single" w:color="auto" w:sz="12" w:space="0"/>
                  </w:tcBorders>
                </w:tcPr>
                <w:p w14:paraId="57B34BBC">
                  <w:pPr>
                    <w:adjustRightInd w:val="0"/>
                    <w:snapToGrid w:val="0"/>
                    <w:spacing w:line="240" w:lineRule="auto"/>
                    <w:ind w:firstLine="0" w:firstLineChars="0"/>
                    <w:jc w:val="center"/>
                    <w:rPr>
                      <w:b/>
                      <w:sz w:val="21"/>
                      <w:szCs w:val="21"/>
                      <w:lang w:bidi="en-US"/>
                    </w:rPr>
                  </w:pPr>
                  <w:r>
                    <w:rPr>
                      <w:rFonts w:hint="eastAsia"/>
                      <w:b/>
                      <w:sz w:val="21"/>
                      <w:szCs w:val="21"/>
                      <w:lang w:bidi="en-US"/>
                    </w:rPr>
                    <w:t>监测单位</w:t>
                  </w:r>
                </w:p>
              </w:tc>
              <w:tc>
                <w:tcPr>
                  <w:tcW w:w="2069" w:type="dxa"/>
                  <w:tcBorders>
                    <w:top w:val="single" w:color="auto" w:sz="12" w:space="0"/>
                    <w:right w:val="nil"/>
                  </w:tcBorders>
                </w:tcPr>
                <w:p w14:paraId="2B454BA0">
                  <w:pPr>
                    <w:adjustRightInd w:val="0"/>
                    <w:snapToGrid w:val="0"/>
                    <w:spacing w:line="240" w:lineRule="auto"/>
                    <w:ind w:firstLine="0" w:firstLineChars="0"/>
                    <w:jc w:val="center"/>
                    <w:rPr>
                      <w:b/>
                      <w:sz w:val="21"/>
                      <w:szCs w:val="21"/>
                      <w:lang w:bidi="en-US"/>
                    </w:rPr>
                  </w:pPr>
                  <w:r>
                    <w:rPr>
                      <w:rFonts w:hint="eastAsia"/>
                      <w:b/>
                      <w:sz w:val="21"/>
                      <w:szCs w:val="21"/>
                      <w:lang w:bidi="en-US"/>
                    </w:rPr>
                    <w:t>采样时间、频次</w:t>
                  </w:r>
                </w:p>
              </w:tc>
            </w:tr>
            <w:tr w14:paraId="52F85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4" w:type="dxa"/>
                  <w:tcBorders>
                    <w:left w:val="nil"/>
                    <w:bottom w:val="single" w:color="auto" w:sz="12" w:space="0"/>
                  </w:tcBorders>
                  <w:vAlign w:val="center"/>
                </w:tcPr>
                <w:p w14:paraId="4C9D454A">
                  <w:pPr>
                    <w:adjustRightInd w:val="0"/>
                    <w:snapToGrid w:val="0"/>
                    <w:spacing w:line="240" w:lineRule="auto"/>
                    <w:ind w:firstLine="0" w:firstLineChars="0"/>
                    <w:jc w:val="center"/>
                    <w:rPr>
                      <w:bCs/>
                      <w:sz w:val="21"/>
                      <w:szCs w:val="21"/>
                      <w:lang w:bidi="en-US"/>
                    </w:rPr>
                  </w:pPr>
                  <w:r>
                    <w:rPr>
                      <w:rFonts w:hint="eastAsia"/>
                      <w:bCs/>
                      <w:sz w:val="21"/>
                      <w:szCs w:val="21"/>
                      <w:lang w:bidi="en-US"/>
                    </w:rPr>
                    <w:t>Q1福州倍丰实业有限公司（场地出租方）</w:t>
                  </w:r>
                </w:p>
              </w:tc>
              <w:tc>
                <w:tcPr>
                  <w:tcW w:w="1365" w:type="dxa"/>
                  <w:tcBorders>
                    <w:bottom w:val="single" w:color="auto" w:sz="12" w:space="0"/>
                  </w:tcBorders>
                  <w:vAlign w:val="center"/>
                </w:tcPr>
                <w:p w14:paraId="0751BD97">
                  <w:pPr>
                    <w:adjustRightInd w:val="0"/>
                    <w:snapToGrid w:val="0"/>
                    <w:spacing w:line="240" w:lineRule="auto"/>
                    <w:ind w:firstLine="0" w:firstLineChars="0"/>
                    <w:jc w:val="center"/>
                    <w:rPr>
                      <w:bCs/>
                      <w:sz w:val="21"/>
                      <w:szCs w:val="21"/>
                      <w:lang w:bidi="en-US"/>
                    </w:rPr>
                  </w:pPr>
                  <w:r>
                    <w:rPr>
                      <w:rFonts w:hint="eastAsia"/>
                      <w:bCs/>
                      <w:sz w:val="21"/>
                      <w:szCs w:val="21"/>
                      <w:lang w:bidi="en-US"/>
                    </w:rPr>
                    <w:t>TSP</w:t>
                  </w:r>
                </w:p>
              </w:tc>
              <w:tc>
                <w:tcPr>
                  <w:tcW w:w="2307" w:type="dxa"/>
                  <w:tcBorders>
                    <w:bottom w:val="single" w:color="auto" w:sz="12" w:space="0"/>
                  </w:tcBorders>
                  <w:vAlign w:val="center"/>
                </w:tcPr>
                <w:p w14:paraId="7FC675D0">
                  <w:pPr>
                    <w:adjustRightInd w:val="0"/>
                    <w:snapToGrid w:val="0"/>
                    <w:spacing w:line="240" w:lineRule="auto"/>
                    <w:ind w:firstLine="0" w:firstLineChars="0"/>
                    <w:jc w:val="center"/>
                    <w:rPr>
                      <w:bCs/>
                      <w:sz w:val="21"/>
                      <w:szCs w:val="21"/>
                      <w:lang w:bidi="en-US"/>
                    </w:rPr>
                  </w:pPr>
                  <w:r>
                    <w:rPr>
                      <w:rFonts w:hint="eastAsia"/>
                    </w:rPr>
                    <w:t>福州中一检测科技有限公司</w:t>
                  </w:r>
                </w:p>
              </w:tc>
              <w:tc>
                <w:tcPr>
                  <w:tcW w:w="2069" w:type="dxa"/>
                  <w:tcBorders>
                    <w:bottom w:val="single" w:color="auto" w:sz="12" w:space="0"/>
                    <w:right w:val="nil"/>
                  </w:tcBorders>
                  <w:vAlign w:val="center"/>
                </w:tcPr>
                <w:p w14:paraId="69B21666">
                  <w:pPr>
                    <w:adjustRightInd w:val="0"/>
                    <w:snapToGrid w:val="0"/>
                    <w:spacing w:line="240" w:lineRule="auto"/>
                    <w:ind w:firstLine="0" w:firstLineChars="0"/>
                    <w:jc w:val="center"/>
                    <w:rPr>
                      <w:bCs/>
                      <w:sz w:val="21"/>
                      <w:szCs w:val="21"/>
                      <w:lang w:bidi="en-US"/>
                    </w:rPr>
                  </w:pPr>
                  <w:r>
                    <w:rPr>
                      <w:rFonts w:hint="eastAsia"/>
                      <w:bCs/>
                      <w:sz w:val="21"/>
                      <w:szCs w:val="21"/>
                      <w:lang w:bidi="en-US"/>
                    </w:rPr>
                    <w:t>2025年11月24日，日均值</w:t>
                  </w:r>
                </w:p>
              </w:tc>
            </w:tr>
          </w:tbl>
          <w:p w14:paraId="54DA9EEA">
            <w:pPr>
              <w:widowControl/>
              <w:autoSpaceDE w:val="0"/>
              <w:autoSpaceDN w:val="0"/>
              <w:adjustRightInd w:val="0"/>
              <w:snapToGrid w:val="0"/>
              <w:ind w:firstLine="480"/>
              <w:jc w:val="left"/>
              <w:textAlignment w:val="baseline"/>
            </w:pPr>
            <w:r>
              <w:rPr>
                <w:rFonts w:hint="eastAsia"/>
              </w:rPr>
              <w:t>检测结果及评价结果详见表3.1-3.</w:t>
            </w:r>
          </w:p>
          <w:p w14:paraId="728CD285">
            <w:pPr>
              <w:kinsoku w:val="0"/>
              <w:autoSpaceDE w:val="0"/>
              <w:autoSpaceDN w:val="0"/>
              <w:adjustRightInd w:val="0"/>
              <w:snapToGrid w:val="0"/>
              <w:spacing w:line="240" w:lineRule="auto"/>
              <w:ind w:firstLine="0" w:firstLineChars="0"/>
              <w:jc w:val="center"/>
              <w:textAlignment w:val="baseline"/>
              <w:rPr>
                <w:b/>
                <w:color w:val="FF0000"/>
              </w:rPr>
            </w:pPr>
            <w:r>
              <w:rPr>
                <w:rFonts w:hint="eastAsia"/>
                <w:b/>
              </w:rPr>
              <w:t>表 3.1-3  大气环境现状监测结果及评价结果表</w:t>
            </w:r>
          </w:p>
          <w:p w14:paraId="66CCE135">
            <w:pPr>
              <w:kinsoku w:val="0"/>
              <w:autoSpaceDE w:val="0"/>
              <w:autoSpaceDN w:val="0"/>
              <w:adjustRightInd w:val="0"/>
              <w:snapToGrid w:val="0"/>
              <w:ind w:left="0" w:leftChars="0" w:right="0" w:rightChars="0" w:firstLine="0" w:firstLineChars="0"/>
              <w:jc w:val="center"/>
              <w:textAlignment w:val="baseline"/>
              <w:rPr>
                <w:rFonts w:hint="eastAsia"/>
                <w:snapToGrid w:val="0"/>
                <w:spacing w:val="8"/>
                <w:kern w:val="0"/>
              </w:rPr>
            </w:pPr>
            <w:r>
              <w:rPr>
                <w:rFonts w:hint="default" w:ascii="Times New Roman" w:hAnsi="Times New Roman" w:eastAsia="宋体" w:cs="Times New Roman"/>
                <w:b w:val="0"/>
                <w:bCs w:val="0"/>
                <w:color w:val="auto"/>
                <w:sz w:val="24"/>
                <w:lang w:val="en-US" w:eastAsia="zh-CN"/>
              </w:rPr>
              <w:t>删除所有涉及隐私部分内容</w:t>
            </w:r>
          </w:p>
          <w:p w14:paraId="65C6B426">
            <w:pPr>
              <w:kinsoku w:val="0"/>
              <w:autoSpaceDE w:val="0"/>
              <w:autoSpaceDN w:val="0"/>
              <w:adjustRightInd w:val="0"/>
              <w:snapToGrid w:val="0"/>
              <w:ind w:firstLine="512"/>
              <w:jc w:val="left"/>
              <w:textAlignment w:val="baseline"/>
              <w:rPr>
                <w:b/>
                <w:color w:val="FF0000"/>
              </w:rPr>
            </w:pPr>
            <w:r>
              <w:rPr>
                <w:rFonts w:hint="eastAsia"/>
                <w:snapToGrid w:val="0"/>
                <w:spacing w:val="8"/>
                <w:kern w:val="0"/>
              </w:rPr>
              <w:t>从上述监测结果分析可知：项目所在区域TSP可达到《环境空气质量标准》（GB3095-2012）及其修改单中的二级标准，表明项目所在区域环境空气质量良好。</w:t>
            </w:r>
          </w:p>
          <w:p w14:paraId="1D77FA3E">
            <w:pPr>
              <w:keepNext/>
              <w:keepLines/>
              <w:ind w:firstLine="0" w:firstLineChars="0"/>
              <w:jc w:val="left"/>
              <w:outlineLvl w:val="1"/>
              <w:rPr>
                <w:b/>
                <w:bCs/>
                <w:sz w:val="30"/>
                <w:szCs w:val="32"/>
              </w:rPr>
            </w:pPr>
            <w:r>
              <w:rPr>
                <w:b/>
                <w:bCs/>
                <w:sz w:val="30"/>
                <w:szCs w:val="32"/>
              </w:rPr>
              <w:t>3.2地表水环境质量现状</w:t>
            </w:r>
          </w:p>
          <w:p w14:paraId="7C74E7D9">
            <w:pPr>
              <w:keepNext/>
              <w:keepLines/>
              <w:ind w:firstLine="0" w:firstLineChars="0"/>
              <w:jc w:val="left"/>
              <w:outlineLvl w:val="2"/>
              <w:rPr>
                <w:b/>
                <w:bCs/>
                <w:sz w:val="28"/>
                <w:szCs w:val="32"/>
              </w:rPr>
            </w:pPr>
            <w:r>
              <w:rPr>
                <w:b/>
                <w:bCs/>
                <w:sz w:val="28"/>
                <w:szCs w:val="32"/>
              </w:rPr>
              <w:t>3.2.1地表水功能区划</w:t>
            </w:r>
          </w:p>
          <w:p w14:paraId="35ED411D">
            <w:pPr>
              <w:ind w:firstLine="480"/>
              <w:rPr>
                <w:color w:val="0000FF"/>
              </w:rPr>
            </w:pPr>
            <w:r>
              <w:t>项目废水</w:t>
            </w:r>
            <w:r>
              <w:rPr>
                <w:rFonts w:hint="eastAsia"/>
              </w:rPr>
              <w:t>经化粪池</w:t>
            </w:r>
            <w:r>
              <w:t>处理后通过市政污水管网排入</w:t>
            </w:r>
            <w:r>
              <w:rPr>
                <w:rFonts w:hint="eastAsia"/>
              </w:rPr>
              <w:t>闽侯县城关污水处理厂</w:t>
            </w:r>
            <w:r>
              <w:t>，</w:t>
            </w:r>
            <w:r>
              <w:rPr>
                <w:rFonts w:hint="eastAsia"/>
              </w:rPr>
              <w:t>污水厂尾水排入安坪浦最终汇入闽江。根据福建省人民政府闽政文〔2006〕133号批准《福州市地表水环境功能区划定方案》，闽侯县内河全段主要功能为一般景观用水，执行《地表水环境质量标准》</w:t>
            </w:r>
            <w:r>
              <w:rPr>
                <w:rFonts w:hint="eastAsia"/>
                <w:lang w:eastAsia="zh-CN"/>
              </w:rPr>
              <w:t>（</w:t>
            </w:r>
            <w:r>
              <w:rPr>
                <w:rFonts w:hint="eastAsia"/>
              </w:rPr>
              <w:t>GB3838-2002</w:t>
            </w:r>
            <w:r>
              <w:rPr>
                <w:rFonts w:hint="eastAsia"/>
                <w:lang w:eastAsia="zh-CN"/>
              </w:rPr>
              <w:t>）</w:t>
            </w:r>
            <w:r>
              <w:rPr>
                <w:rFonts w:hint="eastAsia"/>
              </w:rPr>
              <w:t>中V类标准，详见表3.2-1。</w:t>
            </w:r>
          </w:p>
          <w:p w14:paraId="384A6E7B">
            <w:pPr>
              <w:ind w:firstLine="0" w:firstLineChars="0"/>
              <w:jc w:val="center"/>
              <w:rPr>
                <w:b/>
                <w:kern w:val="0"/>
              </w:rPr>
            </w:pPr>
            <w:r>
              <w:rPr>
                <w:b/>
                <w:kern w:val="0"/>
              </w:rPr>
              <w:t>表3.2-1 地表水环境质量标准</w:t>
            </w:r>
            <w:r>
              <w:rPr>
                <w:rFonts w:hint="eastAsia"/>
                <w:b/>
                <w:kern w:val="0"/>
              </w:rPr>
              <w:t>（</w:t>
            </w:r>
            <w:r>
              <w:rPr>
                <w:b/>
                <w:kern w:val="0"/>
              </w:rPr>
              <w:t>GB3838-2002</w:t>
            </w:r>
            <w:r>
              <w:rPr>
                <w:rFonts w:hint="eastAsia"/>
                <w:b/>
                <w:kern w:val="0"/>
              </w:rPr>
              <w:t>）（</w:t>
            </w:r>
            <w:r>
              <w:rPr>
                <w:b/>
                <w:kern w:val="0"/>
              </w:rPr>
              <w:t>摘录</w:t>
            </w:r>
            <w:r>
              <w:rPr>
                <w:rFonts w:hint="eastAsia"/>
                <w:b/>
                <w:kern w:val="0"/>
              </w:rPr>
              <w:t>）</w:t>
            </w:r>
            <w:r>
              <w:rPr>
                <w:b/>
                <w:kern w:val="0"/>
              </w:rPr>
              <w:t xml:space="preserve"> 单位：mg/L</w:t>
            </w:r>
          </w:p>
          <w:tbl>
            <w:tblPr>
              <w:tblStyle w:val="30"/>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978"/>
              <w:gridCol w:w="2506"/>
              <w:gridCol w:w="1290"/>
              <w:gridCol w:w="1246"/>
              <w:gridCol w:w="1208"/>
              <w:gridCol w:w="1215"/>
            </w:tblGrid>
            <w:tr w14:paraId="41AF1A3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78" w:type="dxa"/>
                  <w:shd w:val="clear" w:color="auto" w:fill="auto"/>
                  <w:vAlign w:val="center"/>
                </w:tcPr>
                <w:p w14:paraId="064258C1">
                  <w:pPr>
                    <w:adjustRightInd w:val="0"/>
                    <w:snapToGrid w:val="0"/>
                    <w:spacing w:line="240" w:lineRule="auto"/>
                    <w:ind w:firstLine="0" w:firstLineChars="0"/>
                    <w:jc w:val="center"/>
                    <w:rPr>
                      <w:b/>
                      <w:sz w:val="21"/>
                      <w:szCs w:val="21"/>
                      <w:lang w:bidi="en-US"/>
                    </w:rPr>
                  </w:pPr>
                  <w:r>
                    <w:rPr>
                      <w:b/>
                      <w:sz w:val="21"/>
                      <w:szCs w:val="21"/>
                      <w:lang w:bidi="en-US"/>
                    </w:rPr>
                    <w:t>序号</w:t>
                  </w:r>
                </w:p>
              </w:tc>
              <w:tc>
                <w:tcPr>
                  <w:tcW w:w="2506" w:type="dxa"/>
                  <w:shd w:val="clear" w:color="auto" w:fill="auto"/>
                  <w:vAlign w:val="center"/>
                </w:tcPr>
                <w:p w14:paraId="62748A70">
                  <w:pPr>
                    <w:adjustRightInd w:val="0"/>
                    <w:snapToGrid w:val="0"/>
                    <w:spacing w:line="240" w:lineRule="auto"/>
                    <w:ind w:firstLine="0" w:firstLineChars="0"/>
                    <w:jc w:val="center"/>
                    <w:rPr>
                      <w:b/>
                      <w:sz w:val="21"/>
                      <w:szCs w:val="21"/>
                      <w:lang w:bidi="en-US"/>
                    </w:rPr>
                  </w:pPr>
                  <w:r>
                    <w:rPr>
                      <w:b/>
                      <w:sz w:val="21"/>
                      <w:szCs w:val="21"/>
                      <w:lang w:bidi="en-US"/>
                    </w:rPr>
                    <w:t>项目</w:t>
                  </w:r>
                </w:p>
              </w:tc>
              <w:tc>
                <w:tcPr>
                  <w:tcW w:w="1290" w:type="dxa"/>
                  <w:shd w:val="clear" w:color="auto" w:fill="auto"/>
                  <w:vAlign w:val="center"/>
                </w:tcPr>
                <w:p w14:paraId="5F938AF1">
                  <w:pPr>
                    <w:adjustRightInd w:val="0"/>
                    <w:snapToGrid w:val="0"/>
                    <w:spacing w:line="240" w:lineRule="auto"/>
                    <w:ind w:firstLine="0" w:firstLineChars="0"/>
                    <w:jc w:val="center"/>
                    <w:rPr>
                      <w:b/>
                      <w:sz w:val="21"/>
                      <w:szCs w:val="21"/>
                      <w:lang w:bidi="en-US"/>
                    </w:rPr>
                  </w:pPr>
                  <w:r>
                    <w:rPr>
                      <w:b/>
                      <w:sz w:val="21"/>
                      <w:szCs w:val="21"/>
                      <w:lang w:bidi="en-US"/>
                    </w:rPr>
                    <w:t>Ⅱ类</w:t>
                  </w:r>
                </w:p>
              </w:tc>
              <w:tc>
                <w:tcPr>
                  <w:tcW w:w="1246" w:type="dxa"/>
                  <w:shd w:val="clear" w:color="auto" w:fill="auto"/>
                  <w:vAlign w:val="center"/>
                </w:tcPr>
                <w:p w14:paraId="1EAEEE84">
                  <w:pPr>
                    <w:adjustRightInd w:val="0"/>
                    <w:snapToGrid w:val="0"/>
                    <w:spacing w:line="240" w:lineRule="auto"/>
                    <w:ind w:firstLine="0" w:firstLineChars="0"/>
                    <w:jc w:val="center"/>
                    <w:rPr>
                      <w:b/>
                      <w:sz w:val="21"/>
                      <w:szCs w:val="21"/>
                      <w:lang w:bidi="en-US"/>
                    </w:rPr>
                  </w:pPr>
                  <w:r>
                    <w:rPr>
                      <w:b/>
                      <w:sz w:val="21"/>
                      <w:szCs w:val="21"/>
                      <w:lang w:bidi="en-US"/>
                    </w:rPr>
                    <w:t>Ⅲ类</w:t>
                  </w:r>
                </w:p>
              </w:tc>
              <w:tc>
                <w:tcPr>
                  <w:tcW w:w="1208" w:type="dxa"/>
                  <w:shd w:val="clear" w:color="auto" w:fill="FFFFFF" w:themeFill="background1"/>
                  <w:vAlign w:val="center"/>
                </w:tcPr>
                <w:p w14:paraId="602A2019">
                  <w:pPr>
                    <w:adjustRightInd w:val="0"/>
                    <w:snapToGrid w:val="0"/>
                    <w:spacing w:line="240" w:lineRule="auto"/>
                    <w:ind w:firstLine="0" w:firstLineChars="0"/>
                    <w:jc w:val="center"/>
                    <w:rPr>
                      <w:b/>
                      <w:sz w:val="21"/>
                      <w:szCs w:val="21"/>
                      <w:lang w:bidi="en-US"/>
                    </w:rPr>
                  </w:pPr>
                  <w:r>
                    <w:rPr>
                      <w:b/>
                      <w:sz w:val="21"/>
                      <w:szCs w:val="21"/>
                      <w:lang w:bidi="en-US"/>
                    </w:rPr>
                    <w:t>Ⅳ类</w:t>
                  </w:r>
                </w:p>
              </w:tc>
              <w:tc>
                <w:tcPr>
                  <w:tcW w:w="1215" w:type="dxa"/>
                  <w:shd w:val="clear" w:color="auto" w:fill="D7D7D7" w:themeFill="background1" w:themeFillShade="D8"/>
                  <w:vAlign w:val="center"/>
                </w:tcPr>
                <w:p w14:paraId="7ED7E870">
                  <w:pPr>
                    <w:adjustRightInd w:val="0"/>
                    <w:snapToGrid w:val="0"/>
                    <w:spacing w:line="240" w:lineRule="auto"/>
                    <w:ind w:firstLine="0" w:firstLineChars="0"/>
                    <w:jc w:val="center"/>
                    <w:rPr>
                      <w:b/>
                      <w:sz w:val="21"/>
                      <w:szCs w:val="21"/>
                      <w:lang w:bidi="en-US"/>
                    </w:rPr>
                  </w:pPr>
                  <w:r>
                    <w:rPr>
                      <w:b/>
                      <w:sz w:val="21"/>
                      <w:szCs w:val="21"/>
                      <w:lang w:bidi="en-US"/>
                    </w:rPr>
                    <w:t>Ⅴ类</w:t>
                  </w:r>
                </w:p>
              </w:tc>
            </w:tr>
            <w:tr w14:paraId="41F5083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78" w:type="dxa"/>
                  <w:shd w:val="clear" w:color="auto" w:fill="auto"/>
                  <w:vAlign w:val="center"/>
                </w:tcPr>
                <w:p w14:paraId="29795BBB">
                  <w:pPr>
                    <w:adjustRightInd w:val="0"/>
                    <w:snapToGrid w:val="0"/>
                    <w:spacing w:line="240" w:lineRule="auto"/>
                    <w:ind w:firstLine="0" w:firstLineChars="0"/>
                    <w:jc w:val="center"/>
                    <w:rPr>
                      <w:bCs/>
                      <w:sz w:val="21"/>
                      <w:szCs w:val="21"/>
                      <w:lang w:bidi="en-US"/>
                    </w:rPr>
                  </w:pPr>
                  <w:r>
                    <w:rPr>
                      <w:bCs/>
                      <w:sz w:val="21"/>
                      <w:szCs w:val="21"/>
                      <w:lang w:bidi="en-US"/>
                    </w:rPr>
                    <w:t>1</w:t>
                  </w:r>
                </w:p>
              </w:tc>
              <w:tc>
                <w:tcPr>
                  <w:tcW w:w="2506" w:type="dxa"/>
                  <w:shd w:val="clear" w:color="auto" w:fill="auto"/>
                  <w:vAlign w:val="center"/>
                </w:tcPr>
                <w:p w14:paraId="6A7A86AA">
                  <w:pPr>
                    <w:adjustRightInd w:val="0"/>
                    <w:snapToGrid w:val="0"/>
                    <w:spacing w:line="240" w:lineRule="auto"/>
                    <w:ind w:firstLine="0" w:firstLineChars="0"/>
                    <w:jc w:val="center"/>
                    <w:rPr>
                      <w:bCs/>
                      <w:sz w:val="21"/>
                      <w:szCs w:val="21"/>
                      <w:lang w:bidi="en-US"/>
                    </w:rPr>
                  </w:pPr>
                  <w:r>
                    <w:rPr>
                      <w:bCs/>
                      <w:sz w:val="21"/>
                      <w:szCs w:val="21"/>
                      <w:lang w:bidi="en-US"/>
                    </w:rPr>
                    <w:t>pH</w:t>
                  </w:r>
                  <w:r>
                    <w:rPr>
                      <w:rFonts w:hint="eastAsia"/>
                      <w:bCs/>
                      <w:sz w:val="21"/>
                      <w:szCs w:val="21"/>
                      <w:lang w:bidi="en-US"/>
                    </w:rPr>
                    <w:t>（</w:t>
                  </w:r>
                  <w:r>
                    <w:rPr>
                      <w:bCs/>
                      <w:sz w:val="21"/>
                      <w:szCs w:val="21"/>
                      <w:lang w:bidi="en-US"/>
                    </w:rPr>
                    <w:t>无量纲</w:t>
                  </w:r>
                  <w:r>
                    <w:rPr>
                      <w:rFonts w:hint="eastAsia"/>
                      <w:bCs/>
                      <w:sz w:val="21"/>
                      <w:szCs w:val="21"/>
                      <w:lang w:bidi="en-US"/>
                    </w:rPr>
                    <w:t>）</w:t>
                  </w:r>
                </w:p>
              </w:tc>
              <w:tc>
                <w:tcPr>
                  <w:tcW w:w="4959" w:type="dxa"/>
                  <w:gridSpan w:val="4"/>
                  <w:shd w:val="clear" w:color="auto" w:fill="D7D7D7" w:themeFill="background1" w:themeFillShade="D8"/>
                  <w:vAlign w:val="center"/>
                </w:tcPr>
                <w:p w14:paraId="3F6F1320">
                  <w:pPr>
                    <w:adjustRightInd w:val="0"/>
                    <w:snapToGrid w:val="0"/>
                    <w:spacing w:line="240" w:lineRule="auto"/>
                    <w:ind w:firstLine="0" w:firstLineChars="0"/>
                    <w:jc w:val="center"/>
                    <w:rPr>
                      <w:bCs/>
                      <w:sz w:val="21"/>
                      <w:szCs w:val="21"/>
                      <w:lang w:bidi="en-US"/>
                    </w:rPr>
                  </w:pPr>
                  <w:r>
                    <w:rPr>
                      <w:bCs/>
                      <w:sz w:val="21"/>
                      <w:szCs w:val="21"/>
                      <w:lang w:bidi="en-US"/>
                    </w:rPr>
                    <w:t>6～9</w:t>
                  </w:r>
                </w:p>
              </w:tc>
            </w:tr>
            <w:tr w14:paraId="767F0A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78" w:type="dxa"/>
                  <w:shd w:val="clear" w:color="auto" w:fill="auto"/>
                  <w:vAlign w:val="center"/>
                </w:tcPr>
                <w:p w14:paraId="28727DA5">
                  <w:pPr>
                    <w:adjustRightInd w:val="0"/>
                    <w:snapToGrid w:val="0"/>
                    <w:spacing w:line="240" w:lineRule="auto"/>
                    <w:ind w:firstLine="0" w:firstLineChars="0"/>
                    <w:jc w:val="center"/>
                    <w:rPr>
                      <w:bCs/>
                      <w:sz w:val="21"/>
                      <w:szCs w:val="21"/>
                      <w:lang w:bidi="en-US"/>
                    </w:rPr>
                  </w:pPr>
                  <w:r>
                    <w:rPr>
                      <w:bCs/>
                      <w:sz w:val="21"/>
                      <w:szCs w:val="21"/>
                      <w:lang w:bidi="en-US"/>
                    </w:rPr>
                    <w:t>2</w:t>
                  </w:r>
                </w:p>
              </w:tc>
              <w:tc>
                <w:tcPr>
                  <w:tcW w:w="2506" w:type="dxa"/>
                  <w:shd w:val="clear" w:color="auto" w:fill="auto"/>
                  <w:vAlign w:val="center"/>
                </w:tcPr>
                <w:p w14:paraId="1EAD2EF3">
                  <w:pPr>
                    <w:adjustRightInd w:val="0"/>
                    <w:snapToGrid w:val="0"/>
                    <w:spacing w:line="240" w:lineRule="auto"/>
                    <w:ind w:firstLine="0" w:firstLineChars="0"/>
                    <w:jc w:val="center"/>
                    <w:rPr>
                      <w:bCs/>
                      <w:sz w:val="21"/>
                      <w:szCs w:val="21"/>
                      <w:lang w:bidi="en-US"/>
                    </w:rPr>
                  </w:pPr>
                  <w:r>
                    <w:rPr>
                      <w:bCs/>
                      <w:sz w:val="21"/>
                      <w:szCs w:val="21"/>
                      <w:lang w:bidi="en-US"/>
                    </w:rPr>
                    <w:t>溶解氧</w:t>
                  </w:r>
                  <w:r>
                    <w:rPr>
                      <w:rFonts w:hint="eastAsia"/>
                      <w:bCs/>
                      <w:sz w:val="21"/>
                      <w:szCs w:val="21"/>
                      <w:lang w:bidi="en-US"/>
                    </w:rPr>
                    <w:t>（</w:t>
                  </w:r>
                  <w:r>
                    <w:rPr>
                      <w:bCs/>
                      <w:sz w:val="21"/>
                      <w:szCs w:val="21"/>
                      <w:lang w:bidi="en-US"/>
                    </w:rPr>
                    <w:t>DO</w:t>
                  </w:r>
                  <w:r>
                    <w:rPr>
                      <w:rFonts w:hint="eastAsia"/>
                      <w:bCs/>
                      <w:sz w:val="21"/>
                      <w:szCs w:val="21"/>
                      <w:lang w:bidi="en-US"/>
                    </w:rPr>
                    <w:t>）</w:t>
                  </w:r>
                  <w:r>
                    <w:rPr>
                      <w:bCs/>
                      <w:sz w:val="21"/>
                      <w:szCs w:val="21"/>
                      <w:lang w:bidi="en-US"/>
                    </w:rPr>
                    <w:t>≥</w:t>
                  </w:r>
                </w:p>
              </w:tc>
              <w:tc>
                <w:tcPr>
                  <w:tcW w:w="1290" w:type="dxa"/>
                  <w:tcBorders>
                    <w:right w:val="single" w:color="auto" w:sz="4" w:space="0"/>
                  </w:tcBorders>
                  <w:shd w:val="clear" w:color="auto" w:fill="auto"/>
                  <w:vAlign w:val="center"/>
                </w:tcPr>
                <w:p w14:paraId="34CF6E99">
                  <w:pPr>
                    <w:adjustRightInd w:val="0"/>
                    <w:snapToGrid w:val="0"/>
                    <w:spacing w:line="240" w:lineRule="auto"/>
                    <w:ind w:firstLine="0" w:firstLineChars="0"/>
                    <w:jc w:val="center"/>
                    <w:rPr>
                      <w:bCs/>
                      <w:sz w:val="21"/>
                      <w:szCs w:val="21"/>
                      <w:lang w:bidi="en-US"/>
                    </w:rPr>
                  </w:pPr>
                  <w:r>
                    <w:rPr>
                      <w:bCs/>
                      <w:sz w:val="21"/>
                      <w:szCs w:val="21"/>
                      <w:lang w:bidi="en-US"/>
                    </w:rPr>
                    <w:t>6</w:t>
                  </w:r>
                </w:p>
              </w:tc>
              <w:tc>
                <w:tcPr>
                  <w:tcW w:w="1246" w:type="dxa"/>
                  <w:tcBorders>
                    <w:left w:val="single" w:color="auto" w:sz="4" w:space="0"/>
                    <w:right w:val="single" w:color="auto" w:sz="4" w:space="0"/>
                  </w:tcBorders>
                  <w:shd w:val="clear" w:color="auto" w:fill="auto"/>
                  <w:vAlign w:val="center"/>
                </w:tcPr>
                <w:p w14:paraId="6930F767">
                  <w:pPr>
                    <w:adjustRightInd w:val="0"/>
                    <w:snapToGrid w:val="0"/>
                    <w:spacing w:line="240" w:lineRule="auto"/>
                    <w:ind w:firstLine="0" w:firstLineChars="0"/>
                    <w:jc w:val="center"/>
                    <w:rPr>
                      <w:bCs/>
                      <w:sz w:val="21"/>
                      <w:szCs w:val="21"/>
                      <w:lang w:bidi="en-US"/>
                    </w:rPr>
                  </w:pPr>
                  <w:r>
                    <w:rPr>
                      <w:bCs/>
                      <w:sz w:val="21"/>
                      <w:szCs w:val="21"/>
                      <w:lang w:bidi="en-US"/>
                    </w:rPr>
                    <w:t>5</w:t>
                  </w:r>
                </w:p>
              </w:tc>
              <w:tc>
                <w:tcPr>
                  <w:tcW w:w="1208" w:type="dxa"/>
                  <w:tcBorders>
                    <w:left w:val="single" w:color="auto" w:sz="4" w:space="0"/>
                    <w:right w:val="single" w:color="auto" w:sz="4" w:space="0"/>
                  </w:tcBorders>
                  <w:shd w:val="clear" w:color="auto" w:fill="FFFFFF" w:themeFill="background1"/>
                  <w:vAlign w:val="center"/>
                </w:tcPr>
                <w:p w14:paraId="3AB0CA61">
                  <w:pPr>
                    <w:adjustRightInd w:val="0"/>
                    <w:snapToGrid w:val="0"/>
                    <w:spacing w:line="240" w:lineRule="auto"/>
                    <w:ind w:firstLine="0" w:firstLineChars="0"/>
                    <w:jc w:val="center"/>
                    <w:rPr>
                      <w:bCs/>
                      <w:sz w:val="21"/>
                      <w:szCs w:val="21"/>
                      <w:lang w:bidi="en-US"/>
                    </w:rPr>
                  </w:pPr>
                  <w:r>
                    <w:rPr>
                      <w:bCs/>
                      <w:sz w:val="21"/>
                      <w:szCs w:val="21"/>
                      <w:lang w:bidi="en-US"/>
                    </w:rPr>
                    <w:t>3</w:t>
                  </w:r>
                </w:p>
              </w:tc>
              <w:tc>
                <w:tcPr>
                  <w:tcW w:w="1215" w:type="dxa"/>
                  <w:tcBorders>
                    <w:left w:val="single" w:color="auto" w:sz="4" w:space="0"/>
                  </w:tcBorders>
                  <w:shd w:val="clear" w:color="auto" w:fill="D7D7D7" w:themeFill="background1" w:themeFillShade="D8"/>
                  <w:vAlign w:val="center"/>
                </w:tcPr>
                <w:p w14:paraId="73DE49D9">
                  <w:pPr>
                    <w:adjustRightInd w:val="0"/>
                    <w:snapToGrid w:val="0"/>
                    <w:spacing w:line="240" w:lineRule="auto"/>
                    <w:ind w:firstLine="0" w:firstLineChars="0"/>
                    <w:jc w:val="center"/>
                    <w:rPr>
                      <w:bCs/>
                      <w:sz w:val="21"/>
                      <w:szCs w:val="21"/>
                      <w:lang w:bidi="en-US"/>
                    </w:rPr>
                  </w:pPr>
                  <w:r>
                    <w:rPr>
                      <w:bCs/>
                      <w:sz w:val="21"/>
                      <w:szCs w:val="21"/>
                      <w:lang w:bidi="en-US"/>
                    </w:rPr>
                    <w:t>2</w:t>
                  </w:r>
                </w:p>
              </w:tc>
            </w:tr>
            <w:tr w14:paraId="35EF0FD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78" w:type="dxa"/>
                  <w:shd w:val="clear" w:color="auto" w:fill="auto"/>
                  <w:vAlign w:val="center"/>
                </w:tcPr>
                <w:p w14:paraId="7B2B5D01">
                  <w:pPr>
                    <w:adjustRightInd w:val="0"/>
                    <w:snapToGrid w:val="0"/>
                    <w:spacing w:line="240" w:lineRule="auto"/>
                    <w:ind w:firstLine="0" w:firstLineChars="0"/>
                    <w:jc w:val="center"/>
                    <w:rPr>
                      <w:bCs/>
                      <w:sz w:val="21"/>
                      <w:szCs w:val="21"/>
                      <w:lang w:bidi="en-US"/>
                    </w:rPr>
                  </w:pPr>
                  <w:r>
                    <w:rPr>
                      <w:bCs/>
                      <w:sz w:val="21"/>
                      <w:szCs w:val="21"/>
                      <w:lang w:bidi="en-US"/>
                    </w:rPr>
                    <w:t>3</w:t>
                  </w:r>
                </w:p>
              </w:tc>
              <w:tc>
                <w:tcPr>
                  <w:tcW w:w="2506" w:type="dxa"/>
                  <w:shd w:val="clear" w:color="auto" w:fill="auto"/>
                  <w:vAlign w:val="center"/>
                </w:tcPr>
                <w:p w14:paraId="5E4403C5">
                  <w:pPr>
                    <w:adjustRightInd w:val="0"/>
                    <w:snapToGrid w:val="0"/>
                    <w:spacing w:line="240" w:lineRule="auto"/>
                    <w:ind w:firstLine="0" w:firstLineChars="0"/>
                    <w:jc w:val="center"/>
                    <w:rPr>
                      <w:bCs/>
                      <w:sz w:val="21"/>
                      <w:szCs w:val="21"/>
                      <w:lang w:bidi="en-US"/>
                    </w:rPr>
                  </w:pPr>
                  <w:r>
                    <w:rPr>
                      <w:bCs/>
                      <w:sz w:val="21"/>
                      <w:szCs w:val="21"/>
                      <w:lang w:bidi="en-US"/>
                    </w:rPr>
                    <w:t>COD</w:t>
                  </w:r>
                  <w:r>
                    <w:rPr>
                      <w:bCs/>
                      <w:sz w:val="21"/>
                      <w:szCs w:val="21"/>
                      <w:vertAlign w:val="subscript"/>
                      <w:lang w:bidi="en-US"/>
                    </w:rPr>
                    <w:t>Mn</w:t>
                  </w:r>
                  <w:r>
                    <w:rPr>
                      <w:bCs/>
                      <w:sz w:val="21"/>
                      <w:szCs w:val="21"/>
                      <w:lang w:bidi="en-US"/>
                    </w:rPr>
                    <w:t>≤</w:t>
                  </w:r>
                </w:p>
              </w:tc>
              <w:tc>
                <w:tcPr>
                  <w:tcW w:w="1290" w:type="dxa"/>
                  <w:tcBorders>
                    <w:right w:val="single" w:color="auto" w:sz="4" w:space="0"/>
                  </w:tcBorders>
                  <w:shd w:val="clear" w:color="auto" w:fill="auto"/>
                  <w:vAlign w:val="center"/>
                </w:tcPr>
                <w:p w14:paraId="44EA5DA5">
                  <w:pPr>
                    <w:adjustRightInd w:val="0"/>
                    <w:snapToGrid w:val="0"/>
                    <w:spacing w:line="240" w:lineRule="auto"/>
                    <w:ind w:firstLine="0" w:firstLineChars="0"/>
                    <w:jc w:val="center"/>
                    <w:rPr>
                      <w:bCs/>
                      <w:sz w:val="21"/>
                      <w:szCs w:val="21"/>
                      <w:lang w:bidi="en-US"/>
                    </w:rPr>
                  </w:pPr>
                  <w:r>
                    <w:rPr>
                      <w:bCs/>
                      <w:sz w:val="21"/>
                      <w:szCs w:val="21"/>
                      <w:lang w:bidi="en-US"/>
                    </w:rPr>
                    <w:t>4</w:t>
                  </w:r>
                </w:p>
              </w:tc>
              <w:tc>
                <w:tcPr>
                  <w:tcW w:w="1246" w:type="dxa"/>
                  <w:tcBorders>
                    <w:left w:val="single" w:color="auto" w:sz="4" w:space="0"/>
                    <w:right w:val="single" w:color="auto" w:sz="4" w:space="0"/>
                  </w:tcBorders>
                  <w:shd w:val="clear" w:color="auto" w:fill="auto"/>
                  <w:vAlign w:val="center"/>
                </w:tcPr>
                <w:p w14:paraId="760E2465">
                  <w:pPr>
                    <w:adjustRightInd w:val="0"/>
                    <w:snapToGrid w:val="0"/>
                    <w:spacing w:line="240" w:lineRule="auto"/>
                    <w:ind w:firstLine="0" w:firstLineChars="0"/>
                    <w:jc w:val="center"/>
                    <w:rPr>
                      <w:bCs/>
                      <w:sz w:val="21"/>
                      <w:szCs w:val="21"/>
                      <w:lang w:bidi="en-US"/>
                    </w:rPr>
                  </w:pPr>
                  <w:r>
                    <w:rPr>
                      <w:bCs/>
                      <w:sz w:val="21"/>
                      <w:szCs w:val="21"/>
                      <w:lang w:bidi="en-US"/>
                    </w:rPr>
                    <w:t>6</w:t>
                  </w:r>
                </w:p>
              </w:tc>
              <w:tc>
                <w:tcPr>
                  <w:tcW w:w="1208" w:type="dxa"/>
                  <w:tcBorders>
                    <w:left w:val="single" w:color="auto" w:sz="4" w:space="0"/>
                    <w:right w:val="single" w:color="auto" w:sz="4" w:space="0"/>
                  </w:tcBorders>
                  <w:shd w:val="clear" w:color="auto" w:fill="FFFFFF" w:themeFill="background1"/>
                  <w:vAlign w:val="center"/>
                </w:tcPr>
                <w:p w14:paraId="553DF8AE">
                  <w:pPr>
                    <w:adjustRightInd w:val="0"/>
                    <w:snapToGrid w:val="0"/>
                    <w:spacing w:line="240" w:lineRule="auto"/>
                    <w:ind w:firstLine="0" w:firstLineChars="0"/>
                    <w:jc w:val="center"/>
                    <w:rPr>
                      <w:bCs/>
                      <w:sz w:val="21"/>
                      <w:szCs w:val="21"/>
                      <w:lang w:bidi="en-US"/>
                    </w:rPr>
                  </w:pPr>
                  <w:r>
                    <w:rPr>
                      <w:bCs/>
                      <w:sz w:val="21"/>
                      <w:szCs w:val="21"/>
                      <w:lang w:bidi="en-US"/>
                    </w:rPr>
                    <w:t>10</w:t>
                  </w:r>
                </w:p>
              </w:tc>
              <w:tc>
                <w:tcPr>
                  <w:tcW w:w="1215" w:type="dxa"/>
                  <w:tcBorders>
                    <w:left w:val="single" w:color="auto" w:sz="4" w:space="0"/>
                  </w:tcBorders>
                  <w:shd w:val="clear" w:color="auto" w:fill="D7D7D7" w:themeFill="background1" w:themeFillShade="D8"/>
                  <w:vAlign w:val="center"/>
                </w:tcPr>
                <w:p w14:paraId="5BF0F034">
                  <w:pPr>
                    <w:adjustRightInd w:val="0"/>
                    <w:snapToGrid w:val="0"/>
                    <w:spacing w:line="240" w:lineRule="auto"/>
                    <w:ind w:firstLine="0" w:firstLineChars="0"/>
                    <w:jc w:val="center"/>
                    <w:rPr>
                      <w:bCs/>
                      <w:sz w:val="21"/>
                      <w:szCs w:val="21"/>
                      <w:lang w:bidi="en-US"/>
                    </w:rPr>
                  </w:pPr>
                  <w:r>
                    <w:rPr>
                      <w:bCs/>
                      <w:sz w:val="21"/>
                      <w:szCs w:val="21"/>
                      <w:lang w:bidi="en-US"/>
                    </w:rPr>
                    <w:t>15</w:t>
                  </w:r>
                </w:p>
              </w:tc>
            </w:tr>
            <w:tr w14:paraId="206DBF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78" w:type="dxa"/>
                  <w:shd w:val="clear" w:color="auto" w:fill="auto"/>
                  <w:vAlign w:val="center"/>
                </w:tcPr>
                <w:p w14:paraId="2B009940">
                  <w:pPr>
                    <w:adjustRightInd w:val="0"/>
                    <w:snapToGrid w:val="0"/>
                    <w:spacing w:line="240" w:lineRule="auto"/>
                    <w:ind w:firstLine="0" w:firstLineChars="0"/>
                    <w:jc w:val="center"/>
                    <w:rPr>
                      <w:bCs/>
                      <w:sz w:val="21"/>
                      <w:szCs w:val="21"/>
                      <w:lang w:bidi="en-US"/>
                    </w:rPr>
                  </w:pPr>
                  <w:r>
                    <w:rPr>
                      <w:bCs/>
                      <w:sz w:val="21"/>
                      <w:szCs w:val="21"/>
                      <w:lang w:bidi="en-US"/>
                    </w:rPr>
                    <w:t>4</w:t>
                  </w:r>
                </w:p>
              </w:tc>
              <w:tc>
                <w:tcPr>
                  <w:tcW w:w="2506" w:type="dxa"/>
                  <w:shd w:val="clear" w:color="auto" w:fill="auto"/>
                  <w:vAlign w:val="center"/>
                </w:tcPr>
                <w:p w14:paraId="10A6DD83">
                  <w:pPr>
                    <w:adjustRightInd w:val="0"/>
                    <w:snapToGrid w:val="0"/>
                    <w:spacing w:line="240" w:lineRule="auto"/>
                    <w:ind w:firstLine="0" w:firstLineChars="0"/>
                    <w:jc w:val="center"/>
                    <w:rPr>
                      <w:bCs/>
                      <w:sz w:val="21"/>
                      <w:szCs w:val="21"/>
                      <w:lang w:bidi="en-US"/>
                    </w:rPr>
                  </w:pPr>
                  <w:r>
                    <w:rPr>
                      <w:bCs/>
                      <w:sz w:val="21"/>
                      <w:szCs w:val="21"/>
                      <w:lang w:bidi="en-US"/>
                    </w:rPr>
                    <w:t>NH</w:t>
                  </w:r>
                  <w:r>
                    <w:rPr>
                      <w:bCs/>
                      <w:sz w:val="21"/>
                      <w:szCs w:val="21"/>
                      <w:vertAlign w:val="subscript"/>
                      <w:lang w:bidi="en-US"/>
                    </w:rPr>
                    <w:t>3</w:t>
                  </w:r>
                  <w:r>
                    <w:rPr>
                      <w:bCs/>
                      <w:sz w:val="21"/>
                      <w:szCs w:val="21"/>
                      <w:lang w:bidi="en-US"/>
                    </w:rPr>
                    <w:t>-N≤</w:t>
                  </w:r>
                </w:p>
              </w:tc>
              <w:tc>
                <w:tcPr>
                  <w:tcW w:w="1290" w:type="dxa"/>
                  <w:shd w:val="clear" w:color="auto" w:fill="auto"/>
                  <w:vAlign w:val="center"/>
                </w:tcPr>
                <w:p w14:paraId="38E2A04D">
                  <w:pPr>
                    <w:adjustRightInd w:val="0"/>
                    <w:snapToGrid w:val="0"/>
                    <w:spacing w:line="240" w:lineRule="auto"/>
                    <w:ind w:firstLine="0" w:firstLineChars="0"/>
                    <w:jc w:val="center"/>
                    <w:rPr>
                      <w:bCs/>
                      <w:sz w:val="21"/>
                      <w:szCs w:val="21"/>
                      <w:lang w:bidi="en-US"/>
                    </w:rPr>
                  </w:pPr>
                  <w:r>
                    <w:rPr>
                      <w:bCs/>
                      <w:sz w:val="21"/>
                      <w:szCs w:val="21"/>
                      <w:lang w:bidi="en-US"/>
                    </w:rPr>
                    <w:t>0.5</w:t>
                  </w:r>
                </w:p>
              </w:tc>
              <w:tc>
                <w:tcPr>
                  <w:tcW w:w="1246" w:type="dxa"/>
                  <w:shd w:val="clear" w:color="auto" w:fill="auto"/>
                  <w:vAlign w:val="center"/>
                </w:tcPr>
                <w:p w14:paraId="63C87D55">
                  <w:pPr>
                    <w:adjustRightInd w:val="0"/>
                    <w:snapToGrid w:val="0"/>
                    <w:spacing w:line="240" w:lineRule="auto"/>
                    <w:ind w:firstLine="0" w:firstLineChars="0"/>
                    <w:jc w:val="center"/>
                    <w:rPr>
                      <w:bCs/>
                      <w:sz w:val="21"/>
                      <w:szCs w:val="21"/>
                      <w:lang w:bidi="en-US"/>
                    </w:rPr>
                  </w:pPr>
                  <w:r>
                    <w:rPr>
                      <w:bCs/>
                      <w:sz w:val="21"/>
                      <w:szCs w:val="21"/>
                      <w:lang w:bidi="en-US"/>
                    </w:rPr>
                    <w:t>1.0</w:t>
                  </w:r>
                </w:p>
              </w:tc>
              <w:tc>
                <w:tcPr>
                  <w:tcW w:w="1208" w:type="dxa"/>
                  <w:shd w:val="clear" w:color="auto" w:fill="FFFFFF" w:themeFill="background1"/>
                  <w:vAlign w:val="center"/>
                </w:tcPr>
                <w:p w14:paraId="43EE4ECB">
                  <w:pPr>
                    <w:adjustRightInd w:val="0"/>
                    <w:snapToGrid w:val="0"/>
                    <w:spacing w:line="240" w:lineRule="auto"/>
                    <w:ind w:firstLine="0" w:firstLineChars="0"/>
                    <w:jc w:val="center"/>
                    <w:rPr>
                      <w:bCs/>
                      <w:sz w:val="21"/>
                      <w:szCs w:val="21"/>
                      <w:lang w:bidi="en-US"/>
                    </w:rPr>
                  </w:pPr>
                  <w:r>
                    <w:rPr>
                      <w:bCs/>
                      <w:sz w:val="21"/>
                      <w:szCs w:val="21"/>
                      <w:lang w:bidi="en-US"/>
                    </w:rPr>
                    <w:t>1.5</w:t>
                  </w:r>
                </w:p>
              </w:tc>
              <w:tc>
                <w:tcPr>
                  <w:tcW w:w="1215" w:type="dxa"/>
                  <w:shd w:val="clear" w:color="auto" w:fill="D7D7D7" w:themeFill="background1" w:themeFillShade="D8"/>
                  <w:vAlign w:val="center"/>
                </w:tcPr>
                <w:p w14:paraId="5607B3A6">
                  <w:pPr>
                    <w:adjustRightInd w:val="0"/>
                    <w:snapToGrid w:val="0"/>
                    <w:spacing w:line="240" w:lineRule="auto"/>
                    <w:ind w:firstLine="0" w:firstLineChars="0"/>
                    <w:jc w:val="center"/>
                    <w:rPr>
                      <w:bCs/>
                      <w:sz w:val="21"/>
                      <w:szCs w:val="21"/>
                      <w:lang w:bidi="en-US"/>
                    </w:rPr>
                  </w:pPr>
                  <w:r>
                    <w:rPr>
                      <w:bCs/>
                      <w:sz w:val="21"/>
                      <w:szCs w:val="21"/>
                      <w:lang w:bidi="en-US"/>
                    </w:rPr>
                    <w:t>2.0</w:t>
                  </w:r>
                </w:p>
              </w:tc>
            </w:tr>
            <w:tr w14:paraId="27A82AE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78" w:type="dxa"/>
                  <w:shd w:val="clear" w:color="auto" w:fill="auto"/>
                  <w:vAlign w:val="center"/>
                </w:tcPr>
                <w:p w14:paraId="7B1D365F">
                  <w:pPr>
                    <w:adjustRightInd w:val="0"/>
                    <w:snapToGrid w:val="0"/>
                    <w:spacing w:line="240" w:lineRule="auto"/>
                    <w:ind w:firstLine="0" w:firstLineChars="0"/>
                    <w:jc w:val="center"/>
                    <w:rPr>
                      <w:bCs/>
                      <w:sz w:val="21"/>
                      <w:szCs w:val="21"/>
                      <w:lang w:bidi="en-US"/>
                    </w:rPr>
                  </w:pPr>
                  <w:r>
                    <w:rPr>
                      <w:bCs/>
                      <w:sz w:val="21"/>
                      <w:szCs w:val="21"/>
                      <w:lang w:bidi="en-US"/>
                    </w:rPr>
                    <w:t>5</w:t>
                  </w:r>
                </w:p>
              </w:tc>
              <w:tc>
                <w:tcPr>
                  <w:tcW w:w="2506" w:type="dxa"/>
                  <w:shd w:val="clear" w:color="auto" w:fill="auto"/>
                  <w:vAlign w:val="center"/>
                </w:tcPr>
                <w:p w14:paraId="1A545825">
                  <w:pPr>
                    <w:adjustRightInd w:val="0"/>
                    <w:snapToGrid w:val="0"/>
                    <w:spacing w:line="240" w:lineRule="auto"/>
                    <w:ind w:firstLine="0" w:firstLineChars="0"/>
                    <w:jc w:val="center"/>
                    <w:rPr>
                      <w:bCs/>
                      <w:sz w:val="21"/>
                      <w:szCs w:val="21"/>
                      <w:lang w:bidi="en-US"/>
                    </w:rPr>
                  </w:pPr>
                  <w:r>
                    <w:rPr>
                      <w:bCs/>
                      <w:sz w:val="21"/>
                      <w:szCs w:val="21"/>
                      <w:lang w:bidi="en-US"/>
                    </w:rPr>
                    <w:t>BOD</w:t>
                  </w:r>
                  <w:r>
                    <w:rPr>
                      <w:bCs/>
                      <w:sz w:val="21"/>
                      <w:szCs w:val="21"/>
                      <w:vertAlign w:val="subscript"/>
                      <w:lang w:bidi="en-US"/>
                    </w:rPr>
                    <w:t>5</w:t>
                  </w:r>
                  <w:r>
                    <w:rPr>
                      <w:bCs/>
                      <w:sz w:val="21"/>
                      <w:szCs w:val="21"/>
                      <w:lang w:bidi="en-US"/>
                    </w:rPr>
                    <w:t>≤</w:t>
                  </w:r>
                </w:p>
              </w:tc>
              <w:tc>
                <w:tcPr>
                  <w:tcW w:w="1290" w:type="dxa"/>
                  <w:shd w:val="clear" w:color="auto" w:fill="auto"/>
                  <w:vAlign w:val="center"/>
                </w:tcPr>
                <w:p w14:paraId="3C7A34B1">
                  <w:pPr>
                    <w:adjustRightInd w:val="0"/>
                    <w:snapToGrid w:val="0"/>
                    <w:spacing w:line="240" w:lineRule="auto"/>
                    <w:ind w:firstLine="0" w:firstLineChars="0"/>
                    <w:jc w:val="center"/>
                    <w:rPr>
                      <w:bCs/>
                      <w:sz w:val="21"/>
                      <w:szCs w:val="21"/>
                      <w:lang w:bidi="en-US"/>
                    </w:rPr>
                  </w:pPr>
                  <w:r>
                    <w:rPr>
                      <w:bCs/>
                      <w:sz w:val="21"/>
                      <w:szCs w:val="21"/>
                      <w:lang w:bidi="en-US"/>
                    </w:rPr>
                    <w:t>3</w:t>
                  </w:r>
                </w:p>
              </w:tc>
              <w:tc>
                <w:tcPr>
                  <w:tcW w:w="1246" w:type="dxa"/>
                  <w:shd w:val="clear" w:color="auto" w:fill="auto"/>
                  <w:vAlign w:val="center"/>
                </w:tcPr>
                <w:p w14:paraId="66E23C33">
                  <w:pPr>
                    <w:adjustRightInd w:val="0"/>
                    <w:snapToGrid w:val="0"/>
                    <w:spacing w:line="240" w:lineRule="auto"/>
                    <w:ind w:firstLine="0" w:firstLineChars="0"/>
                    <w:jc w:val="center"/>
                    <w:rPr>
                      <w:bCs/>
                      <w:sz w:val="21"/>
                      <w:szCs w:val="21"/>
                      <w:lang w:bidi="en-US"/>
                    </w:rPr>
                  </w:pPr>
                  <w:r>
                    <w:rPr>
                      <w:bCs/>
                      <w:sz w:val="21"/>
                      <w:szCs w:val="21"/>
                      <w:lang w:bidi="en-US"/>
                    </w:rPr>
                    <w:t>4</w:t>
                  </w:r>
                </w:p>
              </w:tc>
              <w:tc>
                <w:tcPr>
                  <w:tcW w:w="1208" w:type="dxa"/>
                  <w:shd w:val="clear" w:color="auto" w:fill="FFFFFF" w:themeFill="background1"/>
                  <w:vAlign w:val="center"/>
                </w:tcPr>
                <w:p w14:paraId="45F170F6">
                  <w:pPr>
                    <w:adjustRightInd w:val="0"/>
                    <w:snapToGrid w:val="0"/>
                    <w:spacing w:line="240" w:lineRule="auto"/>
                    <w:ind w:firstLine="0" w:firstLineChars="0"/>
                    <w:jc w:val="center"/>
                    <w:rPr>
                      <w:bCs/>
                      <w:sz w:val="21"/>
                      <w:szCs w:val="21"/>
                      <w:lang w:bidi="en-US"/>
                    </w:rPr>
                  </w:pPr>
                  <w:r>
                    <w:rPr>
                      <w:bCs/>
                      <w:sz w:val="21"/>
                      <w:szCs w:val="21"/>
                      <w:lang w:bidi="en-US"/>
                    </w:rPr>
                    <w:t>6</w:t>
                  </w:r>
                </w:p>
              </w:tc>
              <w:tc>
                <w:tcPr>
                  <w:tcW w:w="1215" w:type="dxa"/>
                  <w:shd w:val="clear" w:color="auto" w:fill="D7D7D7" w:themeFill="background1" w:themeFillShade="D8"/>
                  <w:vAlign w:val="center"/>
                </w:tcPr>
                <w:p w14:paraId="633EC092">
                  <w:pPr>
                    <w:adjustRightInd w:val="0"/>
                    <w:snapToGrid w:val="0"/>
                    <w:spacing w:line="240" w:lineRule="auto"/>
                    <w:ind w:firstLine="0" w:firstLineChars="0"/>
                    <w:jc w:val="center"/>
                    <w:rPr>
                      <w:bCs/>
                      <w:sz w:val="21"/>
                      <w:szCs w:val="21"/>
                      <w:lang w:bidi="en-US"/>
                    </w:rPr>
                  </w:pPr>
                  <w:r>
                    <w:rPr>
                      <w:bCs/>
                      <w:sz w:val="21"/>
                      <w:szCs w:val="21"/>
                      <w:lang w:bidi="en-US"/>
                    </w:rPr>
                    <w:t>10</w:t>
                  </w:r>
                </w:p>
              </w:tc>
            </w:tr>
            <w:tr w14:paraId="56D6922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78" w:type="dxa"/>
                  <w:shd w:val="clear" w:color="auto" w:fill="auto"/>
                  <w:vAlign w:val="center"/>
                </w:tcPr>
                <w:p w14:paraId="727DE876">
                  <w:pPr>
                    <w:adjustRightInd w:val="0"/>
                    <w:snapToGrid w:val="0"/>
                    <w:spacing w:line="240" w:lineRule="auto"/>
                    <w:ind w:firstLine="0" w:firstLineChars="0"/>
                    <w:jc w:val="center"/>
                    <w:rPr>
                      <w:bCs/>
                      <w:sz w:val="21"/>
                      <w:szCs w:val="21"/>
                      <w:lang w:bidi="en-US"/>
                    </w:rPr>
                  </w:pPr>
                  <w:r>
                    <w:rPr>
                      <w:bCs/>
                      <w:sz w:val="21"/>
                      <w:szCs w:val="21"/>
                      <w:lang w:bidi="en-US"/>
                    </w:rPr>
                    <w:t>6</w:t>
                  </w:r>
                </w:p>
              </w:tc>
              <w:tc>
                <w:tcPr>
                  <w:tcW w:w="2506" w:type="dxa"/>
                  <w:shd w:val="clear" w:color="auto" w:fill="auto"/>
                  <w:vAlign w:val="center"/>
                </w:tcPr>
                <w:p w14:paraId="4EE30FB3">
                  <w:pPr>
                    <w:adjustRightInd w:val="0"/>
                    <w:snapToGrid w:val="0"/>
                    <w:spacing w:line="240" w:lineRule="auto"/>
                    <w:ind w:firstLine="0" w:firstLineChars="0"/>
                    <w:jc w:val="center"/>
                    <w:rPr>
                      <w:bCs/>
                      <w:sz w:val="21"/>
                      <w:szCs w:val="21"/>
                      <w:lang w:bidi="en-US"/>
                    </w:rPr>
                  </w:pPr>
                  <w:r>
                    <w:rPr>
                      <w:bCs/>
                      <w:sz w:val="21"/>
                      <w:szCs w:val="21"/>
                      <w:lang w:bidi="en-US"/>
                    </w:rPr>
                    <w:t>TP≤</w:t>
                  </w:r>
                </w:p>
              </w:tc>
              <w:tc>
                <w:tcPr>
                  <w:tcW w:w="1290" w:type="dxa"/>
                  <w:shd w:val="clear" w:color="auto" w:fill="auto"/>
                  <w:vAlign w:val="center"/>
                </w:tcPr>
                <w:p w14:paraId="557F1FC8">
                  <w:pPr>
                    <w:adjustRightInd w:val="0"/>
                    <w:snapToGrid w:val="0"/>
                    <w:spacing w:line="240" w:lineRule="auto"/>
                    <w:ind w:firstLine="0" w:firstLineChars="0"/>
                    <w:jc w:val="center"/>
                    <w:rPr>
                      <w:bCs/>
                      <w:sz w:val="21"/>
                      <w:szCs w:val="21"/>
                      <w:lang w:bidi="en-US"/>
                    </w:rPr>
                  </w:pPr>
                  <w:r>
                    <w:rPr>
                      <w:bCs/>
                      <w:sz w:val="21"/>
                      <w:szCs w:val="21"/>
                      <w:lang w:bidi="en-US"/>
                    </w:rPr>
                    <w:t>0.1</w:t>
                  </w:r>
                </w:p>
              </w:tc>
              <w:tc>
                <w:tcPr>
                  <w:tcW w:w="1246" w:type="dxa"/>
                  <w:shd w:val="clear" w:color="auto" w:fill="auto"/>
                  <w:vAlign w:val="center"/>
                </w:tcPr>
                <w:p w14:paraId="607BCEFD">
                  <w:pPr>
                    <w:adjustRightInd w:val="0"/>
                    <w:snapToGrid w:val="0"/>
                    <w:spacing w:line="240" w:lineRule="auto"/>
                    <w:ind w:firstLine="0" w:firstLineChars="0"/>
                    <w:jc w:val="center"/>
                    <w:rPr>
                      <w:bCs/>
                      <w:sz w:val="21"/>
                      <w:szCs w:val="21"/>
                      <w:lang w:bidi="en-US"/>
                    </w:rPr>
                  </w:pPr>
                  <w:r>
                    <w:rPr>
                      <w:bCs/>
                      <w:sz w:val="21"/>
                      <w:szCs w:val="21"/>
                      <w:lang w:bidi="en-US"/>
                    </w:rPr>
                    <w:t>0.2</w:t>
                  </w:r>
                </w:p>
              </w:tc>
              <w:tc>
                <w:tcPr>
                  <w:tcW w:w="1208" w:type="dxa"/>
                  <w:shd w:val="clear" w:color="auto" w:fill="FFFFFF" w:themeFill="background1"/>
                  <w:vAlign w:val="center"/>
                </w:tcPr>
                <w:p w14:paraId="7032E8EB">
                  <w:pPr>
                    <w:adjustRightInd w:val="0"/>
                    <w:snapToGrid w:val="0"/>
                    <w:spacing w:line="240" w:lineRule="auto"/>
                    <w:ind w:firstLine="0" w:firstLineChars="0"/>
                    <w:jc w:val="center"/>
                    <w:rPr>
                      <w:bCs/>
                      <w:sz w:val="21"/>
                      <w:szCs w:val="21"/>
                      <w:lang w:bidi="en-US"/>
                    </w:rPr>
                  </w:pPr>
                  <w:r>
                    <w:rPr>
                      <w:bCs/>
                      <w:sz w:val="21"/>
                      <w:szCs w:val="21"/>
                      <w:lang w:bidi="en-US"/>
                    </w:rPr>
                    <w:t>0.3</w:t>
                  </w:r>
                </w:p>
              </w:tc>
              <w:tc>
                <w:tcPr>
                  <w:tcW w:w="1215" w:type="dxa"/>
                  <w:shd w:val="clear" w:color="auto" w:fill="D7D7D7" w:themeFill="background1" w:themeFillShade="D8"/>
                  <w:vAlign w:val="center"/>
                </w:tcPr>
                <w:p w14:paraId="0A98D2A1">
                  <w:pPr>
                    <w:adjustRightInd w:val="0"/>
                    <w:snapToGrid w:val="0"/>
                    <w:spacing w:line="240" w:lineRule="auto"/>
                    <w:ind w:firstLine="0" w:firstLineChars="0"/>
                    <w:jc w:val="center"/>
                    <w:rPr>
                      <w:bCs/>
                      <w:sz w:val="21"/>
                      <w:szCs w:val="21"/>
                      <w:lang w:bidi="en-US"/>
                    </w:rPr>
                  </w:pPr>
                  <w:r>
                    <w:rPr>
                      <w:bCs/>
                      <w:sz w:val="21"/>
                      <w:szCs w:val="21"/>
                      <w:lang w:bidi="en-US"/>
                    </w:rPr>
                    <w:t>0.4</w:t>
                  </w:r>
                </w:p>
              </w:tc>
            </w:tr>
          </w:tbl>
          <w:p w14:paraId="4A5D4BE1">
            <w:pPr>
              <w:keepNext/>
              <w:keepLines/>
              <w:ind w:firstLine="0" w:firstLineChars="0"/>
              <w:jc w:val="left"/>
              <w:outlineLvl w:val="2"/>
              <w:rPr>
                <w:b/>
                <w:bCs/>
                <w:sz w:val="28"/>
                <w:szCs w:val="32"/>
              </w:rPr>
            </w:pPr>
            <w:r>
              <w:rPr>
                <w:b/>
                <w:bCs/>
                <w:sz w:val="28"/>
                <w:szCs w:val="32"/>
              </w:rPr>
              <w:t>3.2.2地表水环境质量现状</w:t>
            </w:r>
          </w:p>
          <w:p w14:paraId="697445CA">
            <w:pPr>
              <w:ind w:firstLine="480"/>
            </w:pPr>
            <w:r>
              <w:rPr>
                <w:rFonts w:hint="eastAsia"/>
              </w:rPr>
              <w:t>（1）水环境质量现状</w:t>
            </w:r>
          </w:p>
          <w:p w14:paraId="3400E0EB">
            <w:pPr>
              <w:ind w:firstLine="480"/>
              <w:jc w:val="left"/>
              <w:rPr>
                <w:rFonts w:hint="eastAsia"/>
              </w:rPr>
            </w:pPr>
            <w:r>
              <w:rPr>
                <w:rFonts w:hint="eastAsia"/>
              </w:rPr>
              <w:t>根据福建省生态环境厅发布的《福建省流域水环境质量状况（2025年）》（https://sthjt.fujian.gov.cn/zwgk/sjfb/hjsj/qshjzljtb/202601/t20260126_7085252.htm）可知，2025年1-12月，全省主要流域总体水质为优，国控断面Ⅰ～Ⅲ类水质比例100％,Ⅰ～Ⅱ类水质比例84.8％；国控及省控断面Ⅰ～Ⅲ类水质比例100％，其中Ⅰ～Ⅱ类水质比例83.5％，各类水质比例如下：Ⅰ类占4.5％，Ⅱ类占78.9％，Ⅲ类占16.5％，无Ⅳ类、Ⅴ类和劣Ⅴ类水。</w:t>
            </w:r>
          </w:p>
          <w:p w14:paraId="32C2CB11">
            <w:pPr>
              <w:bidi w:val="0"/>
              <w:rPr>
                <w:rFonts w:hint="eastAsia"/>
                <w:lang w:eastAsia="zh-CN"/>
              </w:rPr>
            </w:pPr>
            <w:r>
              <w:rPr>
                <w:rFonts w:hint="eastAsia"/>
                <w:lang w:val="en-US" w:eastAsia="zh-CN"/>
              </w:rPr>
              <w:t>根据福建省地表水水质实时信息系统（https://shj.fjemc.org.cn//AutoData/Business/DataPublish_FJ/index.html#!/gis）显示，本项目最近水质监测站点为闽侯竹岐监测水站，实时监测（2026年2月25日）水质类别状况为Ⅱ类（优）。</w:t>
            </w:r>
          </w:p>
          <w:p w14:paraId="5DFB43B4">
            <w:pPr>
              <w:bidi w:val="0"/>
            </w:pPr>
            <w:r>
              <w:t>由此可分析，评价区域地表水环境质量</w:t>
            </w:r>
            <w:r>
              <w:rPr>
                <w:rFonts w:hint="eastAsia"/>
                <w:lang w:eastAsia="zh-CN"/>
              </w:rPr>
              <w:t>现状</w:t>
            </w:r>
            <w:r>
              <w:t>良好，可满足</w:t>
            </w:r>
            <w:r>
              <w:rPr>
                <w:rFonts w:hint="eastAsia"/>
                <w:lang w:eastAsia="zh-CN"/>
              </w:rPr>
              <w:t>《</w:t>
            </w:r>
            <w:r>
              <w:rPr>
                <w:rFonts w:hint="eastAsia"/>
              </w:rPr>
              <w:t>地表水环境质量标准》</w:t>
            </w:r>
            <w:r>
              <w:rPr>
                <w:rFonts w:hint="eastAsia"/>
                <w:lang w:eastAsia="zh-CN"/>
              </w:rPr>
              <w:t>（</w:t>
            </w:r>
            <w:r>
              <w:rPr>
                <w:rFonts w:hint="eastAsia"/>
              </w:rPr>
              <w:t>GB3838-2002</w:t>
            </w:r>
            <w:r>
              <w:rPr>
                <w:rFonts w:hint="eastAsia"/>
                <w:lang w:eastAsia="zh-CN"/>
              </w:rPr>
              <w:t>）</w:t>
            </w:r>
            <w:r>
              <w:rPr>
                <w:rFonts w:hint="eastAsia"/>
              </w:rPr>
              <w:t>中V类标准</w:t>
            </w:r>
            <w:r>
              <w:t>限值要求和相关标准要求。</w:t>
            </w:r>
          </w:p>
          <w:p w14:paraId="22836940">
            <w:pPr>
              <w:pStyle w:val="139"/>
            </w:pPr>
            <w:r>
              <w:rPr>
                <w:rFonts w:hint="eastAsia"/>
              </w:rPr>
              <w:t>水环境质量状况截图详见图3.2-1</w:t>
            </w:r>
            <w:r>
              <w:rPr>
                <w:rFonts w:hint="eastAsia"/>
                <w:lang w:eastAsia="zh-CN"/>
              </w:rPr>
              <w:t>与</w:t>
            </w:r>
            <w:r>
              <w:rPr>
                <w:rFonts w:hint="eastAsia"/>
              </w:rPr>
              <w:t>图3.2-</w:t>
            </w:r>
            <w:r>
              <w:rPr>
                <w:rFonts w:hint="eastAsia"/>
                <w:lang w:val="en-US" w:eastAsia="zh-CN"/>
              </w:rPr>
              <w:t>2</w:t>
            </w:r>
            <w:r>
              <w:rPr>
                <w:rFonts w:hint="eastAsia"/>
              </w:rPr>
              <w:t>。</w:t>
            </w:r>
          </w:p>
          <w:p w14:paraId="6266383E">
            <w:pPr>
              <w:snapToGrid w:val="0"/>
              <w:ind w:firstLine="0" w:firstLineChars="0"/>
              <w:jc w:val="center"/>
              <w:rPr>
                <w:rFonts w:cs="宋体"/>
                <w:color w:val="000000"/>
                <w:spacing w:val="4"/>
                <w:sz w:val="21"/>
              </w:rPr>
            </w:pPr>
            <w:r>
              <w:drawing>
                <wp:inline distT="0" distB="0" distL="114300" distR="114300">
                  <wp:extent cx="5227320" cy="3671570"/>
                  <wp:effectExtent l="0" t="0" r="11430" b="5080"/>
                  <wp:docPr id="1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
                          <pic:cNvPicPr>
                            <a:picLocks noChangeAspect="1"/>
                          </pic:cNvPicPr>
                        </pic:nvPicPr>
                        <pic:blipFill>
                          <a:blip r:embed="rId38"/>
                          <a:stretch>
                            <a:fillRect/>
                          </a:stretch>
                        </pic:blipFill>
                        <pic:spPr>
                          <a:xfrm>
                            <a:off x="0" y="0"/>
                            <a:ext cx="5227320" cy="3671570"/>
                          </a:xfrm>
                          <a:prstGeom prst="rect">
                            <a:avLst/>
                          </a:prstGeom>
                          <a:noFill/>
                          <a:ln>
                            <a:noFill/>
                          </a:ln>
                        </pic:spPr>
                      </pic:pic>
                    </a:graphicData>
                  </a:graphic>
                </wp:inline>
              </w:drawing>
            </w:r>
          </w:p>
          <w:p w14:paraId="4C8CEA47">
            <w:pPr>
              <w:pStyle w:val="139"/>
              <w:ind w:firstLine="0" w:firstLineChars="0"/>
              <w:jc w:val="center"/>
              <w:rPr>
                <w:rFonts w:hint="eastAsia"/>
                <w:b/>
                <w:bCs/>
              </w:rPr>
            </w:pPr>
            <w:r>
              <w:rPr>
                <w:rFonts w:hint="eastAsia"/>
                <w:b/>
                <w:bCs/>
              </w:rPr>
              <w:t>图3.2-1  2025年1-12月全省主要流域水质状况截图</w:t>
            </w:r>
          </w:p>
          <w:p w14:paraId="2E5991F1">
            <w:pPr>
              <w:pStyle w:val="139"/>
              <w:ind w:firstLine="0" w:firstLineChars="0"/>
              <w:jc w:val="center"/>
              <w:rPr>
                <w:rFonts w:hint="eastAsia"/>
                <w:b/>
                <w:bCs/>
              </w:rPr>
            </w:pPr>
            <w:r>
              <w:rPr>
                <w:rFonts w:eastAsia="宋体"/>
              </w:rPr>
              <mc:AlternateContent>
                <mc:Choice Requires="wpg">
                  <w:drawing>
                    <wp:anchor distT="0" distB="0" distL="114300" distR="114300" simplePos="0" relativeHeight="251663360" behindDoc="0" locked="0" layoutInCell="1" allowOverlap="1">
                      <wp:simplePos x="0" y="0"/>
                      <wp:positionH relativeFrom="column">
                        <wp:posOffset>2061210</wp:posOffset>
                      </wp:positionH>
                      <wp:positionV relativeFrom="paragraph">
                        <wp:posOffset>1864360</wp:posOffset>
                      </wp:positionV>
                      <wp:extent cx="1056005" cy="695960"/>
                      <wp:effectExtent l="10795" t="4445" r="19050" b="23495"/>
                      <wp:wrapNone/>
                      <wp:docPr id="37" name="组合 37"/>
                      <wp:cNvGraphicFramePr/>
                      <a:graphic xmlns:a="http://schemas.openxmlformats.org/drawingml/2006/main">
                        <a:graphicData uri="http://schemas.microsoft.com/office/word/2010/wordprocessingGroup">
                          <wpg:wgp>
                            <wpg:cNvGrpSpPr/>
                            <wpg:grpSpPr>
                              <a:xfrm>
                                <a:off x="2646680" y="2059940"/>
                                <a:ext cx="1055838" cy="696143"/>
                                <a:chOff x="-8264" y="-1573"/>
                                <a:chExt cx="1929" cy="809"/>
                              </a:xfrm>
                            </wpg:grpSpPr>
                            <wps:wsp>
                              <wps:cNvPr id="38" name="任意多边形 90"/>
                              <wps:cNvSpPr/>
                              <wps:spPr>
                                <a:xfrm>
                                  <a:off x="-8264" y="-934"/>
                                  <a:ext cx="197" cy="170"/>
                                </a:xfrm>
                                <a:custGeom>
                                  <a:avLst/>
                                  <a:gdLst/>
                                  <a:ahLst/>
                                  <a:cxnLst>
                                    <a:cxn ang="16187392">
                                      <a:pos x="99" y="0"/>
                                    </a:cxn>
                                    <a:cxn ang="10747904">
                                      <a:pos x="0" y="64"/>
                                    </a:cxn>
                                    <a:cxn ang="5373952">
                                      <a:pos x="37" y="169"/>
                                    </a:cxn>
                                    <a:cxn ang="5373952">
                                      <a:pos x="160" y="169"/>
                                    </a:cxn>
                                    <a:cxn ang="0">
                                      <a:pos x="197" y="64"/>
                                    </a:cxn>
                                  </a:cxnLst>
                                  <a:rect l="0" t="0" r="0" b="0"/>
                                  <a:pathLst>
                                    <a:path w="198" h="170">
                                      <a:moveTo>
                                        <a:pt x="0" y="64"/>
                                      </a:moveTo>
                                      <a:lnTo>
                                        <a:pt x="75" y="64"/>
                                      </a:lnTo>
                                      <a:lnTo>
                                        <a:pt x="99" y="0"/>
                                      </a:lnTo>
                                      <a:lnTo>
                                        <a:pt x="122" y="64"/>
                                      </a:lnTo>
                                      <a:lnTo>
                                        <a:pt x="197" y="64"/>
                                      </a:lnTo>
                                      <a:lnTo>
                                        <a:pt x="136" y="105"/>
                                      </a:lnTo>
                                      <a:lnTo>
                                        <a:pt x="160" y="169"/>
                                      </a:lnTo>
                                      <a:lnTo>
                                        <a:pt x="99" y="129"/>
                                      </a:lnTo>
                                      <a:lnTo>
                                        <a:pt x="37" y="169"/>
                                      </a:lnTo>
                                      <a:lnTo>
                                        <a:pt x="61" y="105"/>
                                      </a:lnTo>
                                      <a:close/>
                                    </a:path>
                                  </a:pathLst>
                                </a:custGeom>
                                <a:solidFill>
                                  <a:srgbClr val="FF0000"/>
                                </a:solidFill>
                                <a:ln w="9525" cap="flat" cmpd="sng">
                                  <a:solidFill>
                                    <a:srgbClr val="000000"/>
                                  </a:solidFill>
                                  <a:prstDash val="solid"/>
                                  <a:miter/>
                                  <a:headEnd type="none" w="med" len="med"/>
                                  <a:tailEnd type="none" w="med" len="med"/>
                                </a:ln>
                              </wps:spPr>
                              <wps:bodyPr upright="1"/>
                            </wps:wsp>
                            <wps:wsp>
                              <wps:cNvPr id="39" name="圆角矩形标注 91"/>
                              <wps:cNvSpPr/>
                              <wps:spPr>
                                <a:xfrm>
                                  <a:off x="-7933" y="-1573"/>
                                  <a:ext cx="1598" cy="455"/>
                                </a:xfrm>
                                <a:prstGeom prst="wedgeRoundRectCallout">
                                  <a:avLst>
                                    <a:gd name="adj1" fmla="val -55790"/>
                                    <a:gd name="adj2" fmla="val 97127"/>
                                    <a:gd name="adj3" fmla="val 16667"/>
                                  </a:avLst>
                                </a:prstGeom>
                                <a:solidFill>
                                  <a:srgbClr val="FFFF00"/>
                                </a:solidFill>
                                <a:ln w="9525" cap="flat" cmpd="sng">
                                  <a:solidFill>
                                    <a:srgbClr val="000000"/>
                                  </a:solidFill>
                                  <a:prstDash val="solid"/>
                                  <a:miter/>
                                  <a:headEnd type="none" w="med" len="med"/>
                                  <a:tailEnd type="none" w="med" len="med"/>
                                </a:ln>
                              </wps:spPr>
                              <wps:txbx>
                                <w:txbxContent>
                                  <w:p w14:paraId="725CFD8E">
                                    <w:pPr>
                                      <w:spacing w:line="240" w:lineRule="auto"/>
                                      <w:ind w:firstLine="0" w:firstLineChars="0"/>
                                      <w:jc w:val="center"/>
                                      <w:rPr>
                                        <w:rFonts w:ascii="Calibri" w:hAnsi="Calibri" w:eastAsia="宋体"/>
                                        <w:b/>
                                        <w:color w:val="000000"/>
                                        <w:sz w:val="18"/>
                                        <w:szCs w:val="21"/>
                                      </w:rPr>
                                    </w:pPr>
                                    <w:r>
                                      <w:rPr>
                                        <w:rFonts w:hint="eastAsia" w:eastAsia="宋体" w:cs="宋体"/>
                                        <w:b/>
                                        <w:color w:val="000000"/>
                                        <w:sz w:val="22"/>
                                        <w:szCs w:val="22"/>
                                        <w:lang w:bidi="ar"/>
                                      </w:rPr>
                                      <w:t>项目位置</w:t>
                                    </w:r>
                                  </w:p>
                                </w:txbxContent>
                              </wps:txbx>
                              <wps:bodyPr anchor="ctr" anchorCtr="0" upright="1"/>
                            </wps:wsp>
                          </wpg:wgp>
                        </a:graphicData>
                      </a:graphic>
                    </wp:anchor>
                  </w:drawing>
                </mc:Choice>
                <mc:Fallback>
                  <w:pict>
                    <v:group id="_x0000_s1026" o:spid="_x0000_s1026" o:spt="203" style="position:absolute;left:0pt;margin-left:162.3pt;margin-top:146.8pt;height:54.8pt;width:83.15pt;z-index:251663360;mso-width-relative:page;mso-height-relative:page;" coordorigin="-8264,-1573" coordsize="1929,809" o:gfxdata="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">
                      <o:lock v:ext="edit" aspectratio="f"/>
                      <v:shape id="任意多边形 90" o:spid="_x0000_s1026" o:spt="100" style="position:absolute;left:-8264;top:-934;height:170;width:197;" fillcolor="#FF0000" filled="t" stroked="t" coordsize="198,170" o:gfxdata="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QTmMC2AAAA2wAAAA8A&#10;AAAAAAAAAQAgAAAAIgAAAGRycy9kb3ducmV2LnhtbFBLAQIUABQAAAAIAIdO4kAzLwWeOwAAADkA&#10;AAAQAAAAAAAAAAEAIAAAAAUBAABkcnMvc2hhcGV4bWwueG1sUEsFBgAAAAAGAAYAWwEAAK8DAAAA&#10;AA==&#10;" path="m0,64l75,64,99,0,122,64,197,64,136,105,160,169,99,129,37,169,61,105xe">
                        <v:path o:connectlocs="99,0;0,64;37,169;160,169;197,64" o:connectangles="247,164,82,82,0"/>
                        <v:fill on="t" focussize="0,0"/>
                        <v:stroke color="#000000" joinstyle="miter"/>
                        <v:imagedata o:title=""/>
                        <o:lock v:ext="edit" aspectratio="f"/>
                      </v:shape>
                      <v:shape id="圆角矩形标注 91" o:spid="_x0000_s1026" o:spt="62" type="#_x0000_t62" style="position:absolute;left:-7933;top:-1573;height:455;width:1598;v-text-anchor:middle;" fillcolor="#FFFF00" filled="t" stroked="t" coordsize="21600,21600" o:gfxdata="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Yj2mvQAA&#10;ANsAAAAPAAAAAAAAAAEAIAAAACIAAABkcnMvZG93bnJldi54bWxQSwECFAAUAAAACACHTuJAMy8F&#10;njsAAAA5AAAAEAAAAAAAAAABACAAAAAMAQAAZHJzL3NoYXBleG1sLnhtbFBLBQYAAAAABgAGAFsB&#10;AAC2AwAAAAA=&#10;" adj="-1251,31779,14400">
                        <v:fill on="t" focussize="0,0"/>
                        <v:stroke color="#000000" joinstyle="miter"/>
                        <v:imagedata o:title=""/>
                        <o:lock v:ext="edit" aspectratio="f"/>
                        <v:textbox>
                          <w:txbxContent>
                            <w:p w14:paraId="725CFD8E">
                              <w:pPr>
                                <w:spacing w:line="240" w:lineRule="auto"/>
                                <w:ind w:firstLine="0" w:firstLineChars="0"/>
                                <w:jc w:val="center"/>
                                <w:rPr>
                                  <w:rFonts w:ascii="Calibri" w:hAnsi="Calibri" w:eastAsia="宋体"/>
                                  <w:b/>
                                  <w:color w:val="000000"/>
                                  <w:sz w:val="18"/>
                                  <w:szCs w:val="21"/>
                                </w:rPr>
                              </w:pPr>
                              <w:r>
                                <w:rPr>
                                  <w:rFonts w:hint="eastAsia" w:eastAsia="宋体" w:cs="宋体"/>
                                  <w:b/>
                                  <w:color w:val="000000"/>
                                  <w:sz w:val="22"/>
                                  <w:szCs w:val="22"/>
                                  <w:lang w:bidi="ar"/>
                                </w:rPr>
                                <w:t>项目位置</w:t>
                              </w:r>
                            </w:p>
                          </w:txbxContent>
                        </v:textbox>
                      </v:shape>
                    </v:group>
                  </w:pict>
                </mc:Fallback>
              </mc:AlternateContent>
            </w:r>
            <w:r>
              <w:drawing>
                <wp:inline distT="0" distB="0" distL="114300" distR="114300">
                  <wp:extent cx="5166995" cy="3933190"/>
                  <wp:effectExtent l="0" t="0" r="14605" b="1016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39"/>
                          <a:stretch>
                            <a:fillRect/>
                          </a:stretch>
                        </pic:blipFill>
                        <pic:spPr>
                          <a:xfrm>
                            <a:off x="0" y="0"/>
                            <a:ext cx="5166995" cy="3933190"/>
                          </a:xfrm>
                          <a:prstGeom prst="rect">
                            <a:avLst/>
                          </a:prstGeom>
                          <a:noFill/>
                          <a:ln>
                            <a:noFill/>
                          </a:ln>
                        </pic:spPr>
                      </pic:pic>
                    </a:graphicData>
                  </a:graphic>
                </wp:inline>
              </w:drawing>
            </w:r>
          </w:p>
          <w:p w14:paraId="79F21AA6">
            <w:pPr>
              <w:widowControl w:val="0"/>
              <w:spacing w:line="360" w:lineRule="auto"/>
              <w:ind w:firstLine="0" w:firstLineChars="0"/>
              <w:jc w:val="center"/>
              <w:rPr>
                <w:rFonts w:hint="default" w:ascii="Times New Roman" w:hAnsi="Times New Roman" w:eastAsia="宋体" w:cs="宋体"/>
                <w:b/>
                <w:bCs/>
                <w:snapToGrid w:val="0"/>
                <w:color w:val="000000"/>
                <w:sz w:val="24"/>
                <w:lang w:val="en-US" w:eastAsia="zh-CN" w:bidi="ar-SA"/>
              </w:rPr>
            </w:pPr>
            <w:r>
              <w:rPr>
                <w:rFonts w:hint="eastAsia" w:ascii="Times New Roman" w:hAnsi="Times New Roman" w:eastAsia="宋体" w:cs="宋体"/>
                <w:b/>
                <w:bCs/>
                <w:snapToGrid w:val="0"/>
                <w:color w:val="000000"/>
                <w:sz w:val="24"/>
                <w:lang w:val="en-US" w:eastAsia="zh-CN" w:bidi="ar-SA"/>
              </w:rPr>
              <w:t>图3.2-2  福建省地表水水质实时信息图（2025年2月25日）</w:t>
            </w:r>
          </w:p>
          <w:p w14:paraId="5260518A">
            <w:pPr>
              <w:ind w:firstLine="480"/>
            </w:pPr>
            <w:r>
              <w:rPr>
                <w:rFonts w:hint="eastAsia"/>
              </w:rPr>
              <w:t>（2）引用资料的有效性分析</w:t>
            </w:r>
          </w:p>
          <w:p w14:paraId="6567F296">
            <w:pPr>
              <w:ind w:firstLine="482" w:firstLineChars="0"/>
            </w:pPr>
            <w:r>
              <w:rPr>
                <w:rFonts w:hint="eastAsia" w:eastAsia="宋体"/>
              </w:rPr>
              <w:t>根据《建设项目环境影响报告</w:t>
            </w:r>
            <w:r>
              <w:rPr>
                <w:rFonts w:hint="eastAsia" w:eastAsia="宋体"/>
                <w:highlight w:val="none"/>
              </w:rPr>
              <w:t>表编制技术指南（污染影响类）（试行）》（环办环评〔2020〕33号）的要求：“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w:t>
            </w:r>
            <w:r>
              <w:rPr>
                <w:rFonts w:hint="eastAsia" w:eastAsia="宋体"/>
                <w:color w:val="000000"/>
                <w:highlight w:val="none"/>
              </w:rPr>
              <w:t>本次评</w:t>
            </w:r>
            <w:r>
              <w:rPr>
                <w:rFonts w:hint="eastAsia" w:eastAsia="宋体"/>
                <w:color w:val="000000"/>
              </w:rPr>
              <w:t>价选取福建省生态环境厅网站发布的水环境质量状况，符合《建设项目环境影响报告表编制技术指南（污染影响类）（试行）》（环办环评〔2020〕33号）的要求。</w:t>
            </w:r>
          </w:p>
          <w:p w14:paraId="409964D0">
            <w:pPr>
              <w:keepNext/>
              <w:keepLines/>
              <w:ind w:firstLine="0" w:firstLineChars="0"/>
              <w:jc w:val="left"/>
              <w:outlineLvl w:val="1"/>
              <w:rPr>
                <w:b/>
                <w:bCs/>
                <w:sz w:val="30"/>
                <w:szCs w:val="32"/>
              </w:rPr>
            </w:pPr>
            <w:r>
              <w:rPr>
                <w:b/>
                <w:bCs/>
                <w:sz w:val="30"/>
                <w:szCs w:val="32"/>
              </w:rPr>
              <w:t>3.3声环境质量现状</w:t>
            </w:r>
          </w:p>
          <w:p w14:paraId="577EF031">
            <w:pPr>
              <w:keepNext/>
              <w:keepLines/>
              <w:ind w:firstLine="0" w:firstLineChars="0"/>
              <w:jc w:val="left"/>
              <w:outlineLvl w:val="2"/>
              <w:rPr>
                <w:b/>
                <w:bCs/>
                <w:sz w:val="28"/>
                <w:szCs w:val="32"/>
              </w:rPr>
            </w:pPr>
            <w:r>
              <w:rPr>
                <w:b/>
                <w:bCs/>
                <w:sz w:val="28"/>
                <w:szCs w:val="32"/>
              </w:rPr>
              <w:t>3.3.1声环境功能区</w:t>
            </w:r>
          </w:p>
          <w:p w14:paraId="637BC09A">
            <w:pPr>
              <w:ind w:firstLine="480"/>
            </w:pPr>
            <w:r>
              <w:rPr>
                <w:rFonts w:hint="eastAsia"/>
              </w:rPr>
              <w:t>项目位于陈店湖工业区内，夜间不生产，周边以工业生产、仓储物流为主要功能的区域，项目所在区域声环境为3类功能区，声环境质量执行《声环境质量标准》（GB3096-2008）中的3类区昼间标准。详见表3.3-1。</w:t>
            </w:r>
          </w:p>
          <w:p w14:paraId="1B370419">
            <w:pPr>
              <w:spacing w:before="120" w:beforeLines="50" w:line="240" w:lineRule="auto"/>
              <w:ind w:firstLine="0" w:firstLineChars="0"/>
              <w:jc w:val="center"/>
              <w:rPr>
                <w:b/>
              </w:rPr>
            </w:pPr>
            <w:r>
              <w:rPr>
                <w:rFonts w:hint="eastAsia"/>
                <w:b/>
              </w:rPr>
              <w:t>表3.3-1  《声环境质量标准》（GB3096-2008）（摘录）</w:t>
            </w:r>
          </w:p>
          <w:tbl>
            <w:tblPr>
              <w:tblStyle w:val="30"/>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Layout w:type="fixed"/>
              <w:tblCellMar>
                <w:top w:w="0" w:type="dxa"/>
                <w:left w:w="108" w:type="dxa"/>
                <w:bottom w:w="0" w:type="dxa"/>
                <w:right w:w="108" w:type="dxa"/>
              </w:tblCellMar>
            </w:tblPr>
            <w:tblGrid>
              <w:gridCol w:w="1182"/>
              <w:gridCol w:w="4311"/>
              <w:gridCol w:w="2779"/>
            </w:tblGrid>
            <w:tr w14:paraId="1D17C80B">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714" w:type="pct"/>
                  <w:vMerge w:val="restart"/>
                  <w:vAlign w:val="center"/>
                </w:tcPr>
                <w:p w14:paraId="72B4FAC5">
                  <w:pPr>
                    <w:adjustRightInd w:val="0"/>
                    <w:snapToGrid w:val="0"/>
                    <w:spacing w:line="320" w:lineRule="exact"/>
                    <w:ind w:firstLine="0" w:firstLineChars="0"/>
                    <w:jc w:val="center"/>
                    <w:rPr>
                      <w:b/>
                      <w:sz w:val="21"/>
                      <w:szCs w:val="21"/>
                      <w:lang w:bidi="en-US"/>
                    </w:rPr>
                  </w:pPr>
                  <w:r>
                    <w:rPr>
                      <w:rFonts w:hint="eastAsia"/>
                      <w:b/>
                      <w:sz w:val="21"/>
                      <w:szCs w:val="21"/>
                      <w:lang w:bidi="en-US"/>
                    </w:rPr>
                    <w:t>功能区类别</w:t>
                  </w:r>
                </w:p>
              </w:tc>
              <w:tc>
                <w:tcPr>
                  <w:tcW w:w="2605" w:type="pct"/>
                  <w:vMerge w:val="restart"/>
                  <w:vAlign w:val="center"/>
                </w:tcPr>
                <w:p w14:paraId="3AB5780F">
                  <w:pPr>
                    <w:adjustRightInd w:val="0"/>
                    <w:snapToGrid w:val="0"/>
                    <w:spacing w:line="320" w:lineRule="exact"/>
                    <w:ind w:firstLine="0" w:firstLineChars="0"/>
                    <w:jc w:val="center"/>
                    <w:rPr>
                      <w:b/>
                      <w:sz w:val="21"/>
                      <w:szCs w:val="21"/>
                      <w:lang w:bidi="en-US"/>
                    </w:rPr>
                  </w:pPr>
                  <w:r>
                    <w:rPr>
                      <w:b/>
                      <w:sz w:val="21"/>
                      <w:szCs w:val="21"/>
                      <w:lang w:bidi="en-US"/>
                    </w:rPr>
                    <w:t>适用区域</w:t>
                  </w:r>
                </w:p>
              </w:tc>
              <w:tc>
                <w:tcPr>
                  <w:tcW w:w="1679" w:type="pct"/>
                  <w:vAlign w:val="center"/>
                </w:tcPr>
                <w:p w14:paraId="5797B2EB">
                  <w:pPr>
                    <w:adjustRightInd w:val="0"/>
                    <w:snapToGrid w:val="0"/>
                    <w:spacing w:line="320" w:lineRule="exact"/>
                    <w:ind w:firstLine="0" w:firstLineChars="0"/>
                    <w:jc w:val="center"/>
                    <w:rPr>
                      <w:b/>
                      <w:sz w:val="21"/>
                      <w:szCs w:val="21"/>
                      <w:lang w:bidi="en-US"/>
                    </w:rPr>
                  </w:pPr>
                  <w:r>
                    <w:rPr>
                      <w:b/>
                      <w:sz w:val="21"/>
                      <w:szCs w:val="21"/>
                      <w:lang w:bidi="en-US"/>
                    </w:rPr>
                    <w:t>等效声级Leq</w:t>
                  </w:r>
                  <w:r>
                    <w:rPr>
                      <w:rFonts w:hint="eastAsia"/>
                      <w:b/>
                      <w:sz w:val="21"/>
                      <w:szCs w:val="21"/>
                      <w:lang w:bidi="en-US"/>
                    </w:rPr>
                    <w:t>（</w:t>
                  </w:r>
                  <w:r>
                    <w:rPr>
                      <w:b/>
                      <w:sz w:val="21"/>
                      <w:szCs w:val="21"/>
                      <w:lang w:bidi="en-US"/>
                    </w:rPr>
                    <w:t>dB</w:t>
                  </w:r>
                  <w:r>
                    <w:rPr>
                      <w:rFonts w:hint="eastAsia"/>
                      <w:b/>
                      <w:sz w:val="21"/>
                      <w:szCs w:val="21"/>
                      <w:lang w:bidi="en-US"/>
                    </w:rPr>
                    <w:t>（</w:t>
                  </w:r>
                  <w:r>
                    <w:rPr>
                      <w:b/>
                      <w:sz w:val="21"/>
                      <w:szCs w:val="21"/>
                      <w:lang w:bidi="en-US"/>
                    </w:rPr>
                    <w:t>A</w:t>
                  </w:r>
                  <w:r>
                    <w:rPr>
                      <w:rFonts w:hint="eastAsia"/>
                      <w:b/>
                      <w:sz w:val="21"/>
                      <w:szCs w:val="21"/>
                      <w:lang w:bidi="en-US"/>
                    </w:rPr>
                    <w:t>））</w:t>
                  </w:r>
                </w:p>
              </w:tc>
            </w:tr>
            <w:tr w14:paraId="0E1A6CBB">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352" w:hRule="atLeast"/>
                <w:jc w:val="center"/>
              </w:trPr>
              <w:tc>
                <w:tcPr>
                  <w:tcW w:w="714" w:type="pct"/>
                  <w:vMerge w:val="continue"/>
                  <w:vAlign w:val="center"/>
                </w:tcPr>
                <w:p w14:paraId="2CEFE5A0">
                  <w:pPr>
                    <w:adjustRightInd w:val="0"/>
                    <w:snapToGrid w:val="0"/>
                    <w:spacing w:line="320" w:lineRule="exact"/>
                    <w:ind w:firstLine="0" w:firstLineChars="0"/>
                    <w:jc w:val="center"/>
                    <w:rPr>
                      <w:b/>
                      <w:sz w:val="21"/>
                      <w:szCs w:val="21"/>
                      <w:lang w:bidi="en-US"/>
                    </w:rPr>
                  </w:pPr>
                </w:p>
              </w:tc>
              <w:tc>
                <w:tcPr>
                  <w:tcW w:w="2605" w:type="pct"/>
                  <w:vMerge w:val="continue"/>
                  <w:vAlign w:val="center"/>
                </w:tcPr>
                <w:p w14:paraId="60886FAB">
                  <w:pPr>
                    <w:adjustRightInd w:val="0"/>
                    <w:snapToGrid w:val="0"/>
                    <w:spacing w:line="320" w:lineRule="exact"/>
                    <w:ind w:firstLine="0" w:firstLineChars="0"/>
                    <w:jc w:val="center"/>
                    <w:rPr>
                      <w:b/>
                      <w:sz w:val="21"/>
                      <w:szCs w:val="21"/>
                      <w:lang w:bidi="en-US"/>
                    </w:rPr>
                  </w:pPr>
                </w:p>
              </w:tc>
              <w:tc>
                <w:tcPr>
                  <w:tcW w:w="1679" w:type="pct"/>
                  <w:vAlign w:val="center"/>
                </w:tcPr>
                <w:p w14:paraId="181AFBB1">
                  <w:pPr>
                    <w:adjustRightInd w:val="0"/>
                    <w:snapToGrid w:val="0"/>
                    <w:spacing w:line="320" w:lineRule="exact"/>
                    <w:ind w:firstLine="0" w:firstLineChars="0"/>
                    <w:jc w:val="center"/>
                    <w:rPr>
                      <w:b/>
                      <w:sz w:val="21"/>
                      <w:szCs w:val="21"/>
                      <w:lang w:bidi="en-US"/>
                    </w:rPr>
                  </w:pPr>
                  <w:r>
                    <w:rPr>
                      <w:b/>
                      <w:sz w:val="21"/>
                      <w:szCs w:val="21"/>
                      <w:lang w:bidi="en-US"/>
                    </w:rPr>
                    <w:t>昼间</w:t>
                  </w:r>
                </w:p>
              </w:tc>
            </w:tr>
            <w:tr w14:paraId="1341C6EE">
              <w:tblPrEx>
                <w:tblBorders>
                  <w:top w:val="single" w:color="000000" w:sz="12" w:space="0"/>
                  <w:left w:val="none" w:color="auto" w:sz="0" w:space="0"/>
                  <w:bottom w:val="single" w:color="000000" w:sz="12" w:space="0"/>
                  <w:right w:val="none" w:color="auto" w:sz="0" w:space="0"/>
                  <w:insideH w:val="single" w:color="000000" w:sz="6" w:space="0"/>
                  <w:insideV w:val="single" w:color="000000" w:sz="4" w:space="0"/>
                </w:tblBorders>
                <w:tblCellMar>
                  <w:top w:w="0" w:type="dxa"/>
                  <w:left w:w="108" w:type="dxa"/>
                  <w:bottom w:w="0" w:type="dxa"/>
                  <w:right w:w="108" w:type="dxa"/>
                </w:tblCellMar>
              </w:tblPrEx>
              <w:trPr>
                <w:trHeight w:val="397" w:hRule="atLeast"/>
                <w:jc w:val="center"/>
              </w:trPr>
              <w:tc>
                <w:tcPr>
                  <w:tcW w:w="714" w:type="pct"/>
                  <w:vAlign w:val="center"/>
                </w:tcPr>
                <w:p w14:paraId="0C1FB4E5">
                  <w:pPr>
                    <w:adjustRightInd w:val="0"/>
                    <w:snapToGrid w:val="0"/>
                    <w:spacing w:line="320" w:lineRule="exact"/>
                    <w:ind w:firstLine="0" w:firstLineChars="0"/>
                    <w:jc w:val="center"/>
                    <w:rPr>
                      <w:bCs/>
                      <w:sz w:val="21"/>
                      <w:szCs w:val="21"/>
                      <w:lang w:bidi="en-US"/>
                    </w:rPr>
                  </w:pPr>
                  <w:r>
                    <w:rPr>
                      <w:rFonts w:hint="eastAsia"/>
                      <w:bCs/>
                      <w:sz w:val="21"/>
                      <w:szCs w:val="21"/>
                      <w:lang w:bidi="en-US"/>
                    </w:rPr>
                    <w:t>3</w:t>
                  </w:r>
                </w:p>
              </w:tc>
              <w:tc>
                <w:tcPr>
                  <w:tcW w:w="2605" w:type="pct"/>
                  <w:vAlign w:val="center"/>
                </w:tcPr>
                <w:p w14:paraId="48C66AC6">
                  <w:pPr>
                    <w:adjustRightInd w:val="0"/>
                    <w:snapToGrid w:val="0"/>
                    <w:spacing w:line="320" w:lineRule="exact"/>
                    <w:ind w:firstLine="0" w:firstLineChars="0"/>
                    <w:jc w:val="center"/>
                    <w:rPr>
                      <w:bCs/>
                      <w:sz w:val="21"/>
                      <w:szCs w:val="21"/>
                      <w:lang w:bidi="en-US"/>
                    </w:rPr>
                  </w:pPr>
                  <w:r>
                    <w:rPr>
                      <w:bCs/>
                      <w:sz w:val="21"/>
                      <w:szCs w:val="21"/>
                    </w:rPr>
                    <w:t>指以工业生产、仓储物流为主要功能，需要防止工业噪声对周围环境产生严重影响的区域</w:t>
                  </w:r>
                </w:p>
              </w:tc>
              <w:tc>
                <w:tcPr>
                  <w:tcW w:w="1679" w:type="pct"/>
                  <w:vAlign w:val="center"/>
                </w:tcPr>
                <w:p w14:paraId="2BF0CA1A">
                  <w:pPr>
                    <w:pStyle w:val="100"/>
                    <w:adjustRightInd/>
                    <w:snapToGrid/>
                    <w:rPr>
                      <w:bCs/>
                      <w:szCs w:val="21"/>
                      <w:lang w:bidi="en-US"/>
                    </w:rPr>
                  </w:pPr>
                  <w:r>
                    <w:rPr>
                      <w:rFonts w:hint="eastAsia"/>
                      <w:szCs w:val="21"/>
                    </w:rPr>
                    <w:t>65</w:t>
                  </w:r>
                </w:p>
              </w:tc>
            </w:tr>
          </w:tbl>
          <w:p w14:paraId="78A0C162">
            <w:pPr>
              <w:keepNext/>
              <w:keepLines/>
              <w:ind w:firstLine="0" w:firstLineChars="0"/>
              <w:jc w:val="left"/>
              <w:outlineLvl w:val="2"/>
              <w:rPr>
                <w:b/>
                <w:bCs/>
                <w:sz w:val="28"/>
                <w:szCs w:val="32"/>
              </w:rPr>
            </w:pPr>
            <w:r>
              <w:rPr>
                <w:b/>
                <w:bCs/>
                <w:sz w:val="28"/>
                <w:szCs w:val="32"/>
              </w:rPr>
              <w:t>3.3.2声环境质量现状</w:t>
            </w:r>
          </w:p>
          <w:p w14:paraId="34697422">
            <w:pPr>
              <w:keepNext/>
              <w:keepLines/>
              <w:ind w:firstLine="480"/>
              <w:jc w:val="left"/>
              <w:outlineLvl w:val="2"/>
            </w:pPr>
            <w:r>
              <w:rPr>
                <w:rFonts w:hint="eastAsia"/>
              </w:rPr>
              <w:t>根据《建设项目环境影响报告表编制技术指南（污染影响类）（试行）》（环办环评</w:t>
            </w:r>
            <w:r>
              <w:t>〔2020〕</w:t>
            </w:r>
            <w:r>
              <w:rPr>
                <w:rFonts w:hint="eastAsia"/>
              </w:rPr>
              <w:t>33号）的要求：厂界外周边50米范围内存在声环境保护目标的建设项目，应监测保护目标声环境质量现状并评价达标情况。根据环境影响评价网（生态环境部环境工程评估中心）关于《建设项目环境影响报告表》内容、格式及编制技术指南常见问题解答，厂界外周边50米范围内存在声环境保护目标的建设项目，应监测声环境质量现状，监测点位为声环境保护目标处。厂界外周边50米范围内无声环境保护目标的建设项目，不再要求提供声环境质量现状监测数据。</w:t>
            </w:r>
          </w:p>
          <w:p w14:paraId="62678226">
            <w:pPr>
              <w:keepNext/>
              <w:keepLines/>
              <w:ind w:firstLine="480"/>
              <w:jc w:val="left"/>
              <w:outlineLvl w:val="2"/>
              <w:rPr>
                <w:rFonts w:hint="eastAsia"/>
              </w:rPr>
            </w:pPr>
            <w:r>
              <w:rPr>
                <w:rFonts w:hint="eastAsia"/>
              </w:rPr>
              <w:t>根据现场调查，项目厂界外50m范围内无声环境保护目标，因此，本评价不进行声环境质量现状监测。</w:t>
            </w:r>
          </w:p>
          <w:p w14:paraId="2B61B813">
            <w:pPr>
              <w:keepNext/>
              <w:keepLines/>
              <w:ind w:firstLine="0" w:firstLineChars="0"/>
              <w:jc w:val="left"/>
              <w:outlineLvl w:val="1"/>
              <w:rPr>
                <w:b/>
                <w:bCs/>
                <w:sz w:val="30"/>
                <w:szCs w:val="32"/>
              </w:rPr>
            </w:pPr>
            <w:r>
              <w:rPr>
                <w:b/>
                <w:bCs/>
                <w:sz w:val="30"/>
                <w:szCs w:val="32"/>
              </w:rPr>
              <w:t>3.4 生态环境现状调查</w:t>
            </w:r>
          </w:p>
          <w:p w14:paraId="63387F9D">
            <w:pPr>
              <w:ind w:firstLine="480"/>
              <w:rPr>
                <w:rFonts w:eastAsia="宋体"/>
                <w:color w:val="000000"/>
                <w:szCs w:val="22"/>
                <w:lang w:val="zh-CN"/>
              </w:rPr>
            </w:pPr>
            <w:r>
              <w:rPr>
                <w:rFonts w:hint="eastAsia" w:ascii="宋体" w:hAnsi="宋体" w:eastAsia="宋体" w:cs="宋体"/>
                <w:kern w:val="0"/>
                <w:lang w:bidi="ar"/>
              </w:rPr>
              <w:t>本项目</w:t>
            </w:r>
            <w:r>
              <w:rPr>
                <w:rFonts w:eastAsia="宋体"/>
              </w:rPr>
              <w:t>租赁</w:t>
            </w:r>
            <w:r>
              <w:rPr>
                <w:rFonts w:hint="eastAsia" w:eastAsia="宋体"/>
              </w:rPr>
              <w:t>福州倍丰实</w:t>
            </w:r>
            <w:r>
              <w:rPr>
                <w:rFonts w:hint="eastAsia" w:eastAsia="宋体"/>
                <w:highlight w:val="none"/>
              </w:rPr>
              <w:t>业有限公司</w:t>
            </w:r>
            <w:r>
              <w:rPr>
                <w:rFonts w:eastAsia="宋体"/>
                <w:highlight w:val="none"/>
              </w:rPr>
              <w:t>现有</w:t>
            </w:r>
            <w:r>
              <w:rPr>
                <w:rFonts w:hint="eastAsia" w:eastAsia="宋体"/>
                <w:color w:val="000000"/>
                <w:highlight w:val="none"/>
              </w:rPr>
              <w:t>场地</w:t>
            </w:r>
            <w:r>
              <w:rPr>
                <w:rFonts w:eastAsia="宋体"/>
                <w:color w:val="000000"/>
                <w:highlight w:val="none"/>
              </w:rPr>
              <w:t>进行建设，不新增用地，</w:t>
            </w:r>
            <w:r>
              <w:rPr>
                <w:rFonts w:hint="eastAsia" w:eastAsia="宋体"/>
                <w:color w:val="000000"/>
                <w:highlight w:val="none"/>
              </w:rPr>
              <w:t>建设项目所在地四周为林地和陈店湖水库；野生动物较少，无珍稀濒危动物，生态环境良好。</w:t>
            </w:r>
            <w:r>
              <w:rPr>
                <w:rFonts w:eastAsia="宋体"/>
                <w:color w:val="000000"/>
                <w:highlight w:val="none"/>
              </w:rPr>
              <w:t>因此，本评价不进行生</w:t>
            </w:r>
            <w:r>
              <w:rPr>
                <w:rFonts w:eastAsia="宋体"/>
                <w:color w:val="000000"/>
              </w:rPr>
              <w:t>态环境现状调查。</w:t>
            </w:r>
          </w:p>
          <w:p w14:paraId="2D880EEB">
            <w:pPr>
              <w:keepNext/>
              <w:keepLines/>
              <w:ind w:firstLine="0" w:firstLineChars="0"/>
              <w:jc w:val="left"/>
              <w:outlineLvl w:val="1"/>
              <w:rPr>
                <w:b/>
                <w:bCs/>
                <w:sz w:val="30"/>
                <w:szCs w:val="32"/>
              </w:rPr>
            </w:pPr>
            <w:r>
              <w:rPr>
                <w:b/>
                <w:bCs/>
                <w:sz w:val="30"/>
                <w:szCs w:val="32"/>
              </w:rPr>
              <w:t>3.5 土壤、地下水环境质量现状</w:t>
            </w:r>
          </w:p>
          <w:p w14:paraId="32B1C4D9">
            <w:pPr>
              <w:widowControl/>
              <w:ind w:firstLine="480"/>
              <w:jc w:val="left"/>
            </w:pPr>
            <w:r>
              <w:t>根据《建设项目环境影响报告表编制技术指南</w:t>
            </w:r>
            <w:r>
              <w:rPr>
                <w:rFonts w:hint="eastAsia"/>
              </w:rPr>
              <w:t>（</w:t>
            </w:r>
            <w:r>
              <w:t>污染影响类</w:t>
            </w:r>
            <w:r>
              <w:rPr>
                <w:rFonts w:hint="eastAsia"/>
              </w:rPr>
              <w:t>）（试行）</w:t>
            </w:r>
            <w:r>
              <w:t>》</w:t>
            </w:r>
            <w:r>
              <w:rPr>
                <w:rFonts w:hint="eastAsia"/>
              </w:rPr>
              <w:t>（</w:t>
            </w:r>
            <w:r>
              <w:t>环办环评〔2020〕33号</w:t>
            </w:r>
            <w:r>
              <w:rPr>
                <w:rFonts w:hint="eastAsia"/>
              </w:rPr>
              <w:t>）</w:t>
            </w:r>
            <w:r>
              <w:t>规定，</w:t>
            </w:r>
            <w:r>
              <w:rPr>
                <w:rFonts w:hint="eastAsia"/>
              </w:rPr>
              <w:t>“</w:t>
            </w:r>
            <w:r>
              <w:t>原则上不开展环境质量现状调查。建设项目存在土壤、地下水环境污染途径的，应结合污染源、保护目标分布情况开展现状调查以留作背景值</w:t>
            </w:r>
            <w:r>
              <w:rPr>
                <w:rFonts w:hint="eastAsia"/>
              </w:rPr>
              <w:t>”</w:t>
            </w:r>
            <w:r>
              <w:t>。</w:t>
            </w:r>
            <w:r>
              <w:rPr>
                <w:rFonts w:hint="eastAsia"/>
              </w:rPr>
              <w:t>而</w:t>
            </w:r>
            <w:r>
              <w:t>建设</w:t>
            </w:r>
            <w:r>
              <w:rPr>
                <w:rFonts w:hint="eastAsia"/>
              </w:rPr>
              <w:t>项目不存在土壤、地下水环境污染途径，因此项目</w:t>
            </w:r>
            <w:r>
              <w:t>不开展</w:t>
            </w:r>
            <w:r>
              <w:rPr>
                <w:rFonts w:hint="eastAsia"/>
              </w:rPr>
              <w:t>对土壤、地下水的</w:t>
            </w:r>
            <w:r>
              <w:t>环境质量现状调查</w:t>
            </w:r>
            <w:r>
              <w:rPr>
                <w:rFonts w:hint="eastAsia"/>
              </w:rPr>
              <w:t>。</w:t>
            </w:r>
          </w:p>
        </w:tc>
      </w:tr>
      <w:tr w14:paraId="20348E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6" w:type="dxa"/>
            <w:shd w:val="clear" w:color="auto" w:fill="auto"/>
            <w:vAlign w:val="center"/>
          </w:tcPr>
          <w:p w14:paraId="2FA8A1C0">
            <w:pPr>
              <w:widowControl/>
              <w:adjustRightInd w:val="0"/>
              <w:snapToGrid w:val="0"/>
              <w:ind w:firstLine="0" w:firstLineChars="0"/>
              <w:jc w:val="center"/>
            </w:pPr>
            <w:r>
              <w:t>环境保护目标</w:t>
            </w:r>
          </w:p>
        </w:tc>
        <w:tc>
          <w:tcPr>
            <w:tcW w:w="8491" w:type="dxa"/>
            <w:shd w:val="clear" w:color="auto" w:fill="auto"/>
          </w:tcPr>
          <w:p w14:paraId="01FC2FEE">
            <w:pPr>
              <w:keepNext/>
              <w:keepLines/>
              <w:ind w:firstLine="0" w:firstLineChars="0"/>
              <w:jc w:val="left"/>
              <w:outlineLvl w:val="1"/>
              <w:rPr>
                <w:b/>
                <w:bCs/>
                <w:sz w:val="30"/>
                <w:szCs w:val="32"/>
              </w:rPr>
            </w:pPr>
            <w:r>
              <w:rPr>
                <w:b/>
                <w:bCs/>
                <w:sz w:val="30"/>
                <w:szCs w:val="32"/>
              </w:rPr>
              <w:t>3.6环境保护目标</w:t>
            </w:r>
          </w:p>
          <w:p w14:paraId="6FBAE48C">
            <w:pPr>
              <w:keepNext/>
              <w:keepLines/>
              <w:ind w:firstLine="0" w:firstLineChars="0"/>
              <w:jc w:val="left"/>
              <w:outlineLvl w:val="2"/>
              <w:rPr>
                <w:b/>
                <w:bCs/>
                <w:sz w:val="28"/>
                <w:szCs w:val="32"/>
              </w:rPr>
            </w:pPr>
            <w:r>
              <w:rPr>
                <w:b/>
                <w:bCs/>
                <w:sz w:val="28"/>
                <w:szCs w:val="32"/>
              </w:rPr>
              <w:t>3.6.1 大气环境、地表水环境、声环境</w:t>
            </w:r>
          </w:p>
          <w:p w14:paraId="4B5A3F94">
            <w:pPr>
              <w:ind w:firstLine="480"/>
            </w:pPr>
            <w:r>
              <w:t>根据《建设项目环境影响报告表编制技术指南</w:t>
            </w:r>
            <w:r>
              <w:rPr>
                <w:rFonts w:hint="eastAsia"/>
              </w:rPr>
              <w:t>（</w:t>
            </w:r>
            <w:r>
              <w:t>污染影响类</w:t>
            </w:r>
            <w:r>
              <w:rPr>
                <w:rFonts w:hint="eastAsia"/>
              </w:rPr>
              <w:t>）（</w:t>
            </w:r>
            <w:r>
              <w:t>试行</w:t>
            </w:r>
            <w:r>
              <w:rPr>
                <w:rFonts w:hint="eastAsia"/>
              </w:rPr>
              <w:t>）</w:t>
            </w:r>
            <w:r>
              <w:t>》</w:t>
            </w:r>
            <w:r>
              <w:rPr>
                <w:rFonts w:hint="eastAsia"/>
              </w:rPr>
              <w:t>（</w:t>
            </w:r>
            <w:r>
              <w:t>环办环评〔2020〕33号</w:t>
            </w:r>
            <w:r>
              <w:rPr>
                <w:rFonts w:hint="eastAsia"/>
              </w:rPr>
              <w:t>）</w:t>
            </w:r>
            <w:r>
              <w:t>要求以及对项目周边环境的调查，项目大气环境</w:t>
            </w:r>
            <w:r>
              <w:rPr>
                <w:rFonts w:hint="eastAsia"/>
              </w:rPr>
              <w:t>（</w:t>
            </w:r>
            <w:r>
              <w:t>厂界外500m</w:t>
            </w:r>
            <w:r>
              <w:rPr>
                <w:rFonts w:hint="eastAsia"/>
              </w:rPr>
              <w:t>）</w:t>
            </w:r>
            <w:r>
              <w:t>、地表水环境、声环境</w:t>
            </w:r>
            <w:r>
              <w:rPr>
                <w:rFonts w:hint="eastAsia"/>
              </w:rPr>
              <w:t>（</w:t>
            </w:r>
            <w:r>
              <w:t>厂界外50m</w:t>
            </w:r>
            <w:r>
              <w:rPr>
                <w:rFonts w:hint="eastAsia"/>
              </w:rPr>
              <w:t>）</w:t>
            </w:r>
            <w:r>
              <w:t>、地下水环境</w:t>
            </w:r>
            <w:r>
              <w:rPr>
                <w:rFonts w:hint="eastAsia"/>
              </w:rPr>
              <w:t>（</w:t>
            </w:r>
            <w:r>
              <w:t>厂界外500m</w:t>
            </w:r>
            <w:r>
              <w:rPr>
                <w:rFonts w:hint="eastAsia"/>
              </w:rPr>
              <w:t>）</w:t>
            </w:r>
            <w:r>
              <w:t>等环境保护目标见表3.6-1和附图</w:t>
            </w:r>
            <w:r>
              <w:rPr>
                <w:rFonts w:hint="eastAsia"/>
              </w:rPr>
              <w:t>2</w:t>
            </w:r>
            <w:r>
              <w:t>。</w:t>
            </w:r>
          </w:p>
          <w:p w14:paraId="0BADCC31">
            <w:pPr>
              <w:spacing w:before="120" w:beforeLines="50" w:line="240" w:lineRule="auto"/>
              <w:ind w:firstLine="0" w:firstLineChars="0"/>
              <w:jc w:val="center"/>
              <w:rPr>
                <w:b/>
              </w:rPr>
            </w:pPr>
            <w:r>
              <w:rPr>
                <w:rFonts w:hint="eastAsia"/>
                <w:b/>
              </w:rPr>
              <w:t>表3.6-1 环境保护目标一览表</w:t>
            </w:r>
          </w:p>
          <w:tbl>
            <w:tblPr>
              <w:tblStyle w:val="30"/>
              <w:tblW w:w="816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492"/>
              <w:gridCol w:w="1216"/>
              <w:gridCol w:w="735"/>
              <w:gridCol w:w="1365"/>
              <w:gridCol w:w="2474"/>
            </w:tblGrid>
            <w:tr w14:paraId="72333C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Align w:val="center"/>
                </w:tcPr>
                <w:p w14:paraId="61E1A02D">
                  <w:pPr>
                    <w:spacing w:line="240" w:lineRule="auto"/>
                    <w:ind w:firstLine="0" w:firstLineChars="0"/>
                    <w:jc w:val="center"/>
                    <w:rPr>
                      <w:b/>
                      <w:bCs/>
                      <w:sz w:val="21"/>
                      <w:szCs w:val="21"/>
                    </w:rPr>
                  </w:pPr>
                  <w:r>
                    <w:rPr>
                      <w:b/>
                      <w:bCs/>
                      <w:sz w:val="21"/>
                      <w:szCs w:val="21"/>
                    </w:rPr>
                    <w:t>环境</w:t>
                  </w:r>
                </w:p>
                <w:p w14:paraId="4E59155E">
                  <w:pPr>
                    <w:spacing w:line="240" w:lineRule="auto"/>
                    <w:ind w:firstLine="0" w:firstLineChars="0"/>
                    <w:jc w:val="center"/>
                    <w:rPr>
                      <w:b/>
                      <w:bCs/>
                      <w:sz w:val="21"/>
                      <w:szCs w:val="21"/>
                    </w:rPr>
                  </w:pPr>
                  <w:r>
                    <w:rPr>
                      <w:b/>
                      <w:bCs/>
                      <w:sz w:val="21"/>
                      <w:szCs w:val="21"/>
                    </w:rPr>
                    <w:t>要素</w:t>
                  </w:r>
                </w:p>
              </w:tc>
              <w:tc>
                <w:tcPr>
                  <w:tcW w:w="1492" w:type="dxa"/>
                  <w:vAlign w:val="center"/>
                </w:tcPr>
                <w:p w14:paraId="65F223BB">
                  <w:pPr>
                    <w:spacing w:line="240" w:lineRule="auto"/>
                    <w:ind w:firstLine="0" w:firstLineChars="0"/>
                    <w:jc w:val="center"/>
                    <w:rPr>
                      <w:b/>
                      <w:bCs/>
                      <w:sz w:val="21"/>
                      <w:szCs w:val="21"/>
                    </w:rPr>
                  </w:pPr>
                  <w:r>
                    <w:rPr>
                      <w:b/>
                      <w:bCs/>
                      <w:sz w:val="21"/>
                      <w:szCs w:val="21"/>
                    </w:rPr>
                    <w:t>环境保护</w:t>
                  </w:r>
                  <w:r>
                    <w:rPr>
                      <w:rFonts w:hint="eastAsia"/>
                      <w:b/>
                      <w:bCs/>
                      <w:sz w:val="21"/>
                      <w:szCs w:val="21"/>
                    </w:rPr>
                    <w:t>目标</w:t>
                  </w:r>
                </w:p>
              </w:tc>
              <w:tc>
                <w:tcPr>
                  <w:tcW w:w="1216" w:type="dxa"/>
                  <w:vAlign w:val="center"/>
                </w:tcPr>
                <w:p w14:paraId="43BED9D4">
                  <w:pPr>
                    <w:spacing w:line="240" w:lineRule="auto"/>
                    <w:ind w:firstLine="0" w:firstLineChars="0"/>
                    <w:jc w:val="center"/>
                    <w:rPr>
                      <w:b/>
                      <w:bCs/>
                      <w:sz w:val="21"/>
                      <w:szCs w:val="21"/>
                    </w:rPr>
                  </w:pPr>
                  <w:r>
                    <w:rPr>
                      <w:b/>
                      <w:bCs/>
                      <w:sz w:val="21"/>
                      <w:szCs w:val="21"/>
                    </w:rPr>
                    <w:t>相对项目的方位</w:t>
                  </w:r>
                </w:p>
              </w:tc>
              <w:tc>
                <w:tcPr>
                  <w:tcW w:w="735" w:type="dxa"/>
                  <w:vAlign w:val="center"/>
                </w:tcPr>
                <w:p w14:paraId="280E97AE">
                  <w:pPr>
                    <w:spacing w:line="240" w:lineRule="auto"/>
                    <w:ind w:firstLine="0" w:firstLineChars="0"/>
                    <w:jc w:val="center"/>
                    <w:rPr>
                      <w:b/>
                      <w:bCs/>
                      <w:sz w:val="21"/>
                      <w:szCs w:val="21"/>
                    </w:rPr>
                  </w:pPr>
                  <w:r>
                    <w:rPr>
                      <w:b/>
                      <w:bCs/>
                      <w:sz w:val="21"/>
                      <w:szCs w:val="21"/>
                    </w:rPr>
                    <w:t>最近距离</w:t>
                  </w:r>
                  <w:r>
                    <w:rPr>
                      <w:rFonts w:hint="eastAsia"/>
                      <w:sz w:val="21"/>
                      <w:szCs w:val="21"/>
                    </w:rPr>
                    <w:t>m</w:t>
                  </w:r>
                </w:p>
              </w:tc>
              <w:tc>
                <w:tcPr>
                  <w:tcW w:w="1365" w:type="dxa"/>
                  <w:vAlign w:val="center"/>
                </w:tcPr>
                <w:p w14:paraId="6E7F4811">
                  <w:pPr>
                    <w:spacing w:line="240" w:lineRule="auto"/>
                    <w:ind w:firstLine="0" w:firstLineChars="0"/>
                    <w:jc w:val="center"/>
                    <w:rPr>
                      <w:b/>
                      <w:bCs/>
                      <w:sz w:val="21"/>
                      <w:szCs w:val="21"/>
                    </w:rPr>
                  </w:pPr>
                  <w:r>
                    <w:rPr>
                      <w:b/>
                      <w:bCs/>
                      <w:sz w:val="21"/>
                      <w:szCs w:val="21"/>
                    </w:rPr>
                    <w:t>目标规模</w:t>
                  </w:r>
                </w:p>
              </w:tc>
              <w:tc>
                <w:tcPr>
                  <w:tcW w:w="2474" w:type="dxa"/>
                  <w:vAlign w:val="center"/>
                </w:tcPr>
                <w:p w14:paraId="4760A8AB">
                  <w:pPr>
                    <w:spacing w:line="240" w:lineRule="auto"/>
                    <w:ind w:firstLine="0" w:firstLineChars="0"/>
                    <w:jc w:val="center"/>
                    <w:rPr>
                      <w:b/>
                      <w:bCs/>
                      <w:sz w:val="21"/>
                      <w:szCs w:val="21"/>
                    </w:rPr>
                  </w:pPr>
                  <w:r>
                    <w:rPr>
                      <w:b/>
                      <w:bCs/>
                      <w:sz w:val="21"/>
                      <w:szCs w:val="21"/>
                    </w:rPr>
                    <w:t>环境功能</w:t>
                  </w:r>
                </w:p>
              </w:tc>
            </w:tr>
            <w:tr w14:paraId="4CD2B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Align w:val="center"/>
                </w:tcPr>
                <w:p w14:paraId="3825B151">
                  <w:pPr>
                    <w:spacing w:line="240" w:lineRule="auto"/>
                    <w:ind w:firstLine="0" w:firstLineChars="0"/>
                    <w:jc w:val="center"/>
                    <w:rPr>
                      <w:sz w:val="21"/>
                      <w:szCs w:val="21"/>
                    </w:rPr>
                  </w:pPr>
                  <w:r>
                    <w:rPr>
                      <w:rFonts w:hint="eastAsia"/>
                      <w:sz w:val="21"/>
                      <w:szCs w:val="21"/>
                    </w:rPr>
                    <w:t>环境空气</w:t>
                  </w:r>
                </w:p>
              </w:tc>
              <w:tc>
                <w:tcPr>
                  <w:tcW w:w="1492" w:type="dxa"/>
                  <w:vAlign w:val="center"/>
                </w:tcPr>
                <w:p w14:paraId="1E107E47">
                  <w:pPr>
                    <w:spacing w:line="240" w:lineRule="auto"/>
                    <w:ind w:firstLine="0" w:firstLineChars="0"/>
                    <w:jc w:val="center"/>
                    <w:rPr>
                      <w:sz w:val="21"/>
                      <w:szCs w:val="21"/>
                    </w:rPr>
                  </w:pPr>
                  <w:r>
                    <w:rPr>
                      <w:rFonts w:hint="eastAsia"/>
                      <w:sz w:val="21"/>
                      <w:szCs w:val="21"/>
                    </w:rPr>
                    <w:t>十字村</w:t>
                  </w:r>
                </w:p>
              </w:tc>
              <w:tc>
                <w:tcPr>
                  <w:tcW w:w="1216" w:type="dxa"/>
                  <w:vAlign w:val="center"/>
                </w:tcPr>
                <w:p w14:paraId="34ECBB84">
                  <w:pPr>
                    <w:spacing w:line="240" w:lineRule="auto"/>
                    <w:ind w:firstLine="0" w:firstLineChars="0"/>
                    <w:jc w:val="center"/>
                    <w:rPr>
                      <w:sz w:val="21"/>
                      <w:szCs w:val="21"/>
                    </w:rPr>
                  </w:pPr>
                  <w:r>
                    <w:rPr>
                      <w:rFonts w:hint="eastAsia"/>
                      <w:sz w:val="21"/>
                      <w:szCs w:val="21"/>
                    </w:rPr>
                    <w:t>EN</w:t>
                  </w:r>
                </w:p>
              </w:tc>
              <w:tc>
                <w:tcPr>
                  <w:tcW w:w="735" w:type="dxa"/>
                  <w:vAlign w:val="center"/>
                </w:tcPr>
                <w:p w14:paraId="7A6D733E">
                  <w:pPr>
                    <w:spacing w:line="240" w:lineRule="auto"/>
                    <w:ind w:firstLine="0" w:firstLineChars="0"/>
                    <w:jc w:val="center"/>
                    <w:rPr>
                      <w:sz w:val="21"/>
                      <w:szCs w:val="21"/>
                    </w:rPr>
                  </w:pPr>
                  <w:r>
                    <w:rPr>
                      <w:rFonts w:hint="eastAsia"/>
                      <w:sz w:val="21"/>
                      <w:szCs w:val="21"/>
                    </w:rPr>
                    <w:t>70</w:t>
                  </w:r>
                </w:p>
              </w:tc>
              <w:tc>
                <w:tcPr>
                  <w:tcW w:w="1365" w:type="dxa"/>
                  <w:vAlign w:val="center"/>
                </w:tcPr>
                <w:p w14:paraId="79D804D2">
                  <w:pPr>
                    <w:spacing w:line="240" w:lineRule="auto"/>
                    <w:ind w:firstLine="0" w:firstLineChars="0"/>
                    <w:jc w:val="center"/>
                    <w:rPr>
                      <w:sz w:val="21"/>
                      <w:szCs w:val="21"/>
                    </w:rPr>
                  </w:pPr>
                  <w:r>
                    <w:rPr>
                      <w:rFonts w:hint="eastAsia"/>
                      <w:sz w:val="21"/>
                      <w:szCs w:val="21"/>
                    </w:rPr>
                    <w:t>20人</w:t>
                  </w:r>
                </w:p>
              </w:tc>
              <w:tc>
                <w:tcPr>
                  <w:tcW w:w="2474" w:type="dxa"/>
                  <w:vAlign w:val="center"/>
                </w:tcPr>
                <w:p w14:paraId="2D45DFF4">
                  <w:pPr>
                    <w:spacing w:line="240" w:lineRule="auto"/>
                    <w:ind w:firstLine="0" w:firstLineChars="0"/>
                    <w:jc w:val="center"/>
                    <w:rPr>
                      <w:sz w:val="21"/>
                      <w:szCs w:val="21"/>
                    </w:rPr>
                  </w:pPr>
                  <w:r>
                    <w:rPr>
                      <w:color w:val="000000"/>
                      <w:sz w:val="21"/>
                      <w:szCs w:val="21"/>
                    </w:rPr>
                    <w:t>《环境空气质量标准》（GB3095-2012）中的二级标准</w:t>
                  </w:r>
                </w:p>
              </w:tc>
            </w:tr>
            <w:tr w14:paraId="79C1E0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Align w:val="center"/>
                </w:tcPr>
                <w:p w14:paraId="701E79D6">
                  <w:pPr>
                    <w:spacing w:line="240" w:lineRule="auto"/>
                    <w:ind w:firstLine="0" w:firstLineChars="0"/>
                    <w:jc w:val="center"/>
                    <w:rPr>
                      <w:sz w:val="21"/>
                      <w:szCs w:val="21"/>
                    </w:rPr>
                  </w:pPr>
                  <w:r>
                    <w:rPr>
                      <w:sz w:val="21"/>
                      <w:szCs w:val="21"/>
                    </w:rPr>
                    <w:t>地表水</w:t>
                  </w:r>
                </w:p>
              </w:tc>
              <w:tc>
                <w:tcPr>
                  <w:tcW w:w="1492" w:type="dxa"/>
                  <w:vAlign w:val="center"/>
                </w:tcPr>
                <w:p w14:paraId="5F4E90A8">
                  <w:pPr>
                    <w:spacing w:line="240" w:lineRule="auto"/>
                    <w:ind w:firstLine="0" w:firstLineChars="0"/>
                    <w:jc w:val="center"/>
                    <w:rPr>
                      <w:sz w:val="21"/>
                      <w:szCs w:val="21"/>
                    </w:rPr>
                  </w:pPr>
                  <w:r>
                    <w:rPr>
                      <w:rFonts w:hint="eastAsia"/>
                      <w:sz w:val="21"/>
                      <w:szCs w:val="21"/>
                    </w:rPr>
                    <w:t>陈店湖水库</w:t>
                  </w:r>
                </w:p>
              </w:tc>
              <w:tc>
                <w:tcPr>
                  <w:tcW w:w="1216" w:type="dxa"/>
                  <w:vAlign w:val="center"/>
                </w:tcPr>
                <w:p w14:paraId="260BAA71">
                  <w:pPr>
                    <w:spacing w:line="240" w:lineRule="auto"/>
                    <w:ind w:firstLine="0" w:firstLineChars="0"/>
                    <w:jc w:val="center"/>
                    <w:rPr>
                      <w:sz w:val="21"/>
                      <w:szCs w:val="21"/>
                    </w:rPr>
                  </w:pPr>
                  <w:r>
                    <w:rPr>
                      <w:rFonts w:hint="eastAsia"/>
                      <w:sz w:val="21"/>
                      <w:szCs w:val="21"/>
                    </w:rPr>
                    <w:t>E</w:t>
                  </w:r>
                </w:p>
              </w:tc>
              <w:tc>
                <w:tcPr>
                  <w:tcW w:w="735" w:type="dxa"/>
                  <w:vAlign w:val="center"/>
                </w:tcPr>
                <w:p w14:paraId="0BF8F192">
                  <w:pPr>
                    <w:spacing w:line="240" w:lineRule="auto"/>
                    <w:ind w:firstLine="0" w:firstLineChars="0"/>
                    <w:jc w:val="center"/>
                    <w:rPr>
                      <w:sz w:val="21"/>
                      <w:szCs w:val="21"/>
                    </w:rPr>
                  </w:pPr>
                  <w:r>
                    <w:rPr>
                      <w:rFonts w:hint="eastAsia"/>
                      <w:sz w:val="21"/>
                      <w:szCs w:val="21"/>
                    </w:rPr>
                    <w:t>25</w:t>
                  </w:r>
                </w:p>
              </w:tc>
              <w:tc>
                <w:tcPr>
                  <w:tcW w:w="1365" w:type="dxa"/>
                  <w:vAlign w:val="center"/>
                </w:tcPr>
                <w:p w14:paraId="11B7345A">
                  <w:pPr>
                    <w:spacing w:line="240" w:lineRule="auto"/>
                    <w:ind w:firstLine="0" w:firstLineChars="0"/>
                    <w:jc w:val="center"/>
                    <w:rPr>
                      <w:rFonts w:hint="eastAsia" w:eastAsia="宋体"/>
                      <w:sz w:val="21"/>
                      <w:szCs w:val="21"/>
                      <w:lang w:eastAsia="zh-CN"/>
                    </w:rPr>
                  </w:pPr>
                  <w:r>
                    <w:rPr>
                      <w:rFonts w:hint="eastAsia"/>
                      <w:sz w:val="21"/>
                      <w:szCs w:val="21"/>
                      <w:lang w:val="en-US" w:eastAsia="zh-CN"/>
                    </w:rPr>
                    <w:t>小型拦水坝</w:t>
                  </w:r>
                  <w:r>
                    <w:rPr>
                      <w:rFonts w:hint="eastAsia"/>
                      <w:sz w:val="21"/>
                      <w:szCs w:val="21"/>
                    </w:rPr>
                    <w:t>水库</w:t>
                  </w:r>
                  <w:r>
                    <w:rPr>
                      <w:rFonts w:hint="eastAsia"/>
                      <w:sz w:val="21"/>
                      <w:szCs w:val="21"/>
                      <w:lang w:eastAsia="zh-CN"/>
                    </w:rPr>
                    <w:t>，承担防洪排涝首要功能</w:t>
                  </w:r>
                </w:p>
              </w:tc>
              <w:tc>
                <w:tcPr>
                  <w:tcW w:w="2474" w:type="dxa"/>
                  <w:vAlign w:val="center"/>
                </w:tcPr>
                <w:p w14:paraId="44AECD4B">
                  <w:pPr>
                    <w:spacing w:line="240" w:lineRule="auto"/>
                    <w:ind w:firstLine="0" w:firstLineChars="0"/>
                    <w:jc w:val="center"/>
                    <w:rPr>
                      <w:sz w:val="21"/>
                      <w:szCs w:val="21"/>
                    </w:rPr>
                  </w:pPr>
                  <w:r>
                    <w:rPr>
                      <w:rFonts w:hint="eastAsia"/>
                      <w:sz w:val="21"/>
                      <w:szCs w:val="21"/>
                    </w:rPr>
                    <w:t>《地表水环境质量标准》(GB3838-2002)V类水质标准</w:t>
                  </w:r>
                </w:p>
              </w:tc>
            </w:tr>
            <w:tr w14:paraId="7BA04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Align w:val="center"/>
                </w:tcPr>
                <w:p w14:paraId="573889C1">
                  <w:pPr>
                    <w:spacing w:line="240" w:lineRule="auto"/>
                    <w:ind w:firstLine="0" w:firstLineChars="0"/>
                    <w:jc w:val="center"/>
                    <w:rPr>
                      <w:sz w:val="21"/>
                      <w:szCs w:val="21"/>
                    </w:rPr>
                  </w:pPr>
                  <w:r>
                    <w:rPr>
                      <w:sz w:val="21"/>
                      <w:szCs w:val="21"/>
                    </w:rPr>
                    <w:t>声环境</w:t>
                  </w:r>
                </w:p>
              </w:tc>
              <w:tc>
                <w:tcPr>
                  <w:tcW w:w="7282" w:type="dxa"/>
                  <w:gridSpan w:val="5"/>
                  <w:vAlign w:val="center"/>
                </w:tcPr>
                <w:p w14:paraId="2728B113">
                  <w:pPr>
                    <w:spacing w:line="240" w:lineRule="auto"/>
                    <w:ind w:firstLine="0" w:firstLineChars="0"/>
                    <w:jc w:val="center"/>
                    <w:rPr>
                      <w:sz w:val="21"/>
                      <w:szCs w:val="21"/>
                    </w:rPr>
                  </w:pPr>
                  <w:r>
                    <w:rPr>
                      <w:bCs/>
                      <w:szCs w:val="21"/>
                    </w:rPr>
                    <w:t>项目厂界外50米范围内无</w:t>
                  </w:r>
                  <w:r>
                    <w:rPr>
                      <w:rFonts w:hint="eastAsia"/>
                      <w:bCs/>
                      <w:szCs w:val="21"/>
                    </w:rPr>
                    <w:t>敏感目标</w:t>
                  </w:r>
                </w:p>
              </w:tc>
            </w:tr>
            <w:tr w14:paraId="0A534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9" w:type="dxa"/>
                  <w:vAlign w:val="center"/>
                </w:tcPr>
                <w:p w14:paraId="220BF9EE">
                  <w:pPr>
                    <w:spacing w:line="240" w:lineRule="auto"/>
                    <w:ind w:firstLine="0" w:firstLineChars="0"/>
                    <w:jc w:val="center"/>
                    <w:rPr>
                      <w:sz w:val="21"/>
                      <w:szCs w:val="21"/>
                    </w:rPr>
                  </w:pPr>
                  <w:r>
                    <w:rPr>
                      <w:sz w:val="21"/>
                      <w:szCs w:val="21"/>
                    </w:rPr>
                    <w:t>地下水</w:t>
                  </w:r>
                </w:p>
              </w:tc>
              <w:tc>
                <w:tcPr>
                  <w:tcW w:w="7282" w:type="dxa"/>
                  <w:gridSpan w:val="5"/>
                  <w:vAlign w:val="center"/>
                </w:tcPr>
                <w:p w14:paraId="10E68C2B">
                  <w:pPr>
                    <w:spacing w:line="240" w:lineRule="auto"/>
                    <w:ind w:firstLine="0" w:firstLineChars="0"/>
                    <w:jc w:val="center"/>
                    <w:rPr>
                      <w:sz w:val="21"/>
                      <w:szCs w:val="21"/>
                    </w:rPr>
                  </w:pPr>
                  <w:r>
                    <w:rPr>
                      <w:sz w:val="21"/>
                      <w:szCs w:val="21"/>
                    </w:rPr>
                    <w:t>项目厂界外500米范围内无地下水集中式饮用水水源和热水、矿泉水、温泉等特殊地下水资源</w:t>
                  </w:r>
                </w:p>
              </w:tc>
            </w:tr>
          </w:tbl>
          <w:p w14:paraId="36ABF45B">
            <w:pPr>
              <w:keepNext/>
              <w:keepLines/>
              <w:ind w:firstLine="0" w:firstLineChars="0"/>
              <w:jc w:val="left"/>
              <w:outlineLvl w:val="2"/>
              <w:rPr>
                <w:b/>
                <w:bCs/>
                <w:sz w:val="28"/>
                <w:szCs w:val="32"/>
              </w:rPr>
            </w:pPr>
            <w:r>
              <w:rPr>
                <w:b/>
                <w:bCs/>
                <w:sz w:val="28"/>
                <w:szCs w:val="32"/>
              </w:rPr>
              <w:t>3.6.2 生态环境保护目标</w:t>
            </w:r>
          </w:p>
          <w:p w14:paraId="3662C8C5">
            <w:pPr>
              <w:ind w:firstLine="480"/>
            </w:pPr>
            <w:r>
              <w:t>根据《建设项目环境影响报告表编制技术指南</w:t>
            </w:r>
            <w:r>
              <w:rPr>
                <w:rFonts w:hint="eastAsia"/>
              </w:rPr>
              <w:t>（</w:t>
            </w:r>
            <w:r>
              <w:t>污染影响类</w:t>
            </w:r>
            <w:r>
              <w:rPr>
                <w:rFonts w:hint="eastAsia"/>
              </w:rPr>
              <w:t>）（</w:t>
            </w:r>
            <w:r>
              <w:t>试行</w:t>
            </w:r>
            <w:r>
              <w:rPr>
                <w:rFonts w:hint="eastAsia"/>
              </w:rPr>
              <w:t>）</w:t>
            </w:r>
            <w:r>
              <w:t>》</w:t>
            </w:r>
            <w:r>
              <w:rPr>
                <w:rFonts w:hint="eastAsia"/>
              </w:rPr>
              <w:t>（</w:t>
            </w:r>
            <w:r>
              <w:t>环办环评〔2020〕33号</w:t>
            </w:r>
            <w:r>
              <w:rPr>
                <w:rFonts w:hint="eastAsia"/>
              </w:rPr>
              <w:t>）“</w:t>
            </w:r>
            <w:r>
              <w:t>产业园区外建设项目新增用地的，应明确新增用地范围内生态环境保护目标</w:t>
            </w:r>
            <w:r>
              <w:rPr>
                <w:rFonts w:hint="eastAsia"/>
              </w:rPr>
              <w:t>”</w:t>
            </w:r>
            <w:r>
              <w:t>。本项目</w:t>
            </w:r>
            <w:r>
              <w:rPr>
                <w:rFonts w:hint="eastAsia" w:ascii="宋体" w:hAnsi="宋体" w:cs="宋体"/>
                <w:kern w:val="0"/>
                <w:lang w:bidi="ar"/>
              </w:rPr>
              <w:t>位于</w:t>
            </w:r>
            <w:r>
              <w:rPr>
                <w:rFonts w:hint="eastAsia"/>
              </w:rPr>
              <w:t>福州市闽侯县</w:t>
            </w:r>
            <w:r>
              <w:t>甘蔗街道</w:t>
            </w:r>
            <w:r>
              <w:rPr>
                <w:rFonts w:hint="eastAsia"/>
              </w:rPr>
              <w:t>陈店湖</w:t>
            </w:r>
            <w:r>
              <w:t>路</w:t>
            </w:r>
            <w:r>
              <w:rPr>
                <w:rFonts w:hint="eastAsia"/>
              </w:rPr>
              <w:t>1</w:t>
            </w:r>
            <w:r>
              <w:t>8号</w:t>
            </w:r>
            <w:r>
              <w:rPr>
                <w:rFonts w:hint="eastAsia"/>
              </w:rPr>
              <w:t>，</w:t>
            </w:r>
            <w:r>
              <w:rPr>
                <w:color w:val="000000"/>
              </w:rPr>
              <w:t>租赁现有</w:t>
            </w:r>
            <w:r>
              <w:rPr>
                <w:rFonts w:hint="eastAsia"/>
                <w:color w:val="000000"/>
              </w:rPr>
              <w:t>场地</w:t>
            </w:r>
            <w:r>
              <w:rPr>
                <w:color w:val="000000"/>
              </w:rPr>
              <w:t>进行建设，不新增用地</w:t>
            </w:r>
            <w:r>
              <w:t>，因此无需进行生态环境保护目标调查。</w:t>
            </w:r>
          </w:p>
        </w:tc>
      </w:tr>
      <w:tr w14:paraId="74F559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6" w:type="dxa"/>
            <w:shd w:val="clear" w:color="auto" w:fill="auto"/>
            <w:vAlign w:val="center"/>
          </w:tcPr>
          <w:p w14:paraId="3731C491">
            <w:pPr>
              <w:widowControl/>
              <w:adjustRightInd w:val="0"/>
              <w:snapToGrid w:val="0"/>
              <w:ind w:firstLine="0" w:firstLineChars="0"/>
              <w:jc w:val="center"/>
            </w:pPr>
            <w:r>
              <w:t>污染物排放控制标准</w:t>
            </w:r>
          </w:p>
        </w:tc>
        <w:tc>
          <w:tcPr>
            <w:tcW w:w="8491" w:type="dxa"/>
            <w:shd w:val="clear" w:color="auto" w:fill="auto"/>
            <w:vAlign w:val="center"/>
          </w:tcPr>
          <w:p w14:paraId="5A1C1A30">
            <w:pPr>
              <w:keepNext/>
              <w:keepLines/>
              <w:ind w:firstLine="0" w:firstLineChars="0"/>
              <w:jc w:val="left"/>
              <w:outlineLvl w:val="1"/>
              <w:rPr>
                <w:b/>
                <w:bCs/>
                <w:sz w:val="30"/>
                <w:szCs w:val="32"/>
              </w:rPr>
            </w:pPr>
            <w:r>
              <w:rPr>
                <w:b/>
                <w:bCs/>
                <w:sz w:val="30"/>
                <w:szCs w:val="32"/>
              </w:rPr>
              <w:t>3.7 污染物排放标准</w:t>
            </w:r>
          </w:p>
          <w:p w14:paraId="0D20BD3D">
            <w:pPr>
              <w:keepNext/>
              <w:keepLines/>
              <w:ind w:firstLine="0" w:firstLineChars="0"/>
              <w:jc w:val="left"/>
              <w:outlineLvl w:val="2"/>
              <w:rPr>
                <w:b/>
                <w:bCs/>
                <w:sz w:val="28"/>
                <w:szCs w:val="32"/>
              </w:rPr>
            </w:pPr>
            <w:r>
              <w:rPr>
                <w:b/>
                <w:bCs/>
                <w:sz w:val="28"/>
                <w:szCs w:val="32"/>
              </w:rPr>
              <w:t>3.7.1 水污染物排放标准</w:t>
            </w:r>
          </w:p>
          <w:p w14:paraId="708D5BCB">
            <w:pPr>
              <w:autoSpaceDE w:val="0"/>
              <w:autoSpaceDN w:val="0"/>
              <w:adjustRightInd w:val="0"/>
              <w:ind w:left="138" w:firstLine="480"/>
              <w:rPr>
                <w:color w:val="FF0000"/>
              </w:rPr>
            </w:pPr>
            <w:r>
              <w:rPr>
                <w:rFonts w:hint="eastAsia"/>
              </w:rPr>
              <w:t>本项目无生产废水产生，生活废水经化粪池处理达到</w:t>
            </w:r>
            <w:r>
              <w:t>《污水综合排放标准》</w:t>
            </w:r>
            <w:r>
              <w:rPr>
                <w:rFonts w:hint="eastAsia"/>
              </w:rPr>
              <w:t>（</w:t>
            </w:r>
            <w:r>
              <w:t>GB8978-1996</w:t>
            </w:r>
            <w:r>
              <w:rPr>
                <w:rFonts w:hint="eastAsia"/>
              </w:rPr>
              <w:t>）</w:t>
            </w:r>
            <w:r>
              <w:t>表4中的三级标准（其中氨氮参照执行《污水排入城镇下水道水质标准》</w:t>
            </w:r>
            <w:r>
              <w:rPr>
                <w:rFonts w:hint="eastAsia"/>
              </w:rPr>
              <w:t>（</w:t>
            </w:r>
            <w:r>
              <w:t>GB/T 31</w:t>
            </w:r>
            <w:r>
              <w:rPr>
                <w:rFonts w:hint="eastAsia"/>
              </w:rPr>
              <w:t>962-2015）表1中B级标准限值）后，通过市政污水管网纳入闽侯县城关污水处理厂处理。</w:t>
            </w:r>
            <w:r>
              <w:t>具体标准限值见表</w:t>
            </w:r>
            <w:r>
              <w:rPr>
                <w:rFonts w:hint="eastAsia"/>
              </w:rPr>
              <w:t>3.7-1</w:t>
            </w:r>
            <w:r>
              <w:t>。</w:t>
            </w:r>
          </w:p>
          <w:p w14:paraId="23298F38">
            <w:pPr>
              <w:wordWrap w:val="0"/>
              <w:ind w:right="360" w:firstLine="0" w:firstLineChars="0"/>
              <w:jc w:val="center"/>
              <w:rPr>
                <w:b/>
                <w:bCs/>
              </w:rPr>
            </w:pPr>
            <w:r>
              <w:rPr>
                <w:b/>
                <w:bCs/>
              </w:rPr>
              <w:t>表3.7-1 《污水综合排放标准》</w:t>
            </w:r>
            <w:r>
              <w:rPr>
                <w:rFonts w:hint="eastAsia"/>
                <w:b/>
                <w:bCs/>
              </w:rPr>
              <w:t>（</w:t>
            </w:r>
            <w:r>
              <w:rPr>
                <w:b/>
                <w:bCs/>
              </w:rPr>
              <w:t>摘录</w:t>
            </w:r>
            <w:r>
              <w:rPr>
                <w:rFonts w:hint="eastAsia"/>
                <w:b/>
                <w:bCs/>
              </w:rPr>
              <w:t>）</w:t>
            </w:r>
          </w:p>
          <w:tbl>
            <w:tblPr>
              <w:tblStyle w:val="30"/>
              <w:tblW w:w="81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24"/>
              <w:gridCol w:w="3264"/>
              <w:gridCol w:w="2191"/>
            </w:tblGrid>
            <w:tr w14:paraId="5D3B1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2724" w:type="dxa"/>
                  <w:tcBorders>
                    <w:top w:val="single" w:color="auto" w:sz="12" w:space="0"/>
                    <w:left w:val="nil"/>
                    <w:bottom w:val="single" w:color="auto" w:sz="4" w:space="0"/>
                    <w:right w:val="single" w:color="auto" w:sz="4" w:space="0"/>
                  </w:tcBorders>
                  <w:vAlign w:val="center"/>
                </w:tcPr>
                <w:p w14:paraId="22DB4D9E">
                  <w:pPr>
                    <w:adjustRightInd w:val="0"/>
                    <w:snapToGrid w:val="0"/>
                    <w:spacing w:line="320" w:lineRule="exact"/>
                    <w:ind w:firstLine="0" w:firstLineChars="0"/>
                    <w:jc w:val="center"/>
                    <w:rPr>
                      <w:b/>
                      <w:sz w:val="21"/>
                      <w:szCs w:val="21"/>
                      <w:lang w:bidi="en-US"/>
                    </w:rPr>
                  </w:pPr>
                  <w:r>
                    <w:rPr>
                      <w:b/>
                      <w:sz w:val="21"/>
                      <w:szCs w:val="21"/>
                      <w:lang w:bidi="en-US"/>
                    </w:rPr>
                    <w:t>污染物名称</w:t>
                  </w:r>
                </w:p>
              </w:tc>
              <w:tc>
                <w:tcPr>
                  <w:tcW w:w="3264" w:type="dxa"/>
                  <w:tcBorders>
                    <w:top w:val="single" w:color="auto" w:sz="12" w:space="0"/>
                    <w:left w:val="single" w:color="auto" w:sz="4" w:space="0"/>
                    <w:bottom w:val="single" w:color="auto" w:sz="4" w:space="0"/>
                    <w:right w:val="single" w:color="auto" w:sz="4" w:space="0"/>
                  </w:tcBorders>
                  <w:vAlign w:val="center"/>
                </w:tcPr>
                <w:p w14:paraId="1778024C">
                  <w:pPr>
                    <w:adjustRightInd w:val="0"/>
                    <w:snapToGrid w:val="0"/>
                    <w:spacing w:line="320" w:lineRule="exact"/>
                    <w:ind w:firstLine="0" w:firstLineChars="0"/>
                    <w:jc w:val="center"/>
                    <w:rPr>
                      <w:b/>
                      <w:sz w:val="21"/>
                      <w:szCs w:val="21"/>
                      <w:lang w:bidi="en-US"/>
                    </w:rPr>
                  </w:pPr>
                  <w:r>
                    <w:rPr>
                      <w:b/>
                      <w:sz w:val="21"/>
                      <w:szCs w:val="21"/>
                      <w:lang w:bidi="en-US"/>
                    </w:rPr>
                    <w:t>三级标准</w:t>
                  </w:r>
                </w:p>
              </w:tc>
              <w:tc>
                <w:tcPr>
                  <w:tcW w:w="2191" w:type="dxa"/>
                  <w:tcBorders>
                    <w:top w:val="single" w:color="auto" w:sz="12" w:space="0"/>
                    <w:left w:val="single" w:color="auto" w:sz="4" w:space="0"/>
                    <w:bottom w:val="single" w:color="auto" w:sz="4" w:space="0"/>
                    <w:right w:val="nil"/>
                  </w:tcBorders>
                  <w:vAlign w:val="center"/>
                </w:tcPr>
                <w:p w14:paraId="07014D29">
                  <w:pPr>
                    <w:adjustRightInd w:val="0"/>
                    <w:snapToGrid w:val="0"/>
                    <w:spacing w:line="320" w:lineRule="exact"/>
                    <w:ind w:firstLine="0" w:firstLineChars="0"/>
                    <w:jc w:val="center"/>
                    <w:rPr>
                      <w:b/>
                      <w:sz w:val="21"/>
                      <w:szCs w:val="21"/>
                      <w:lang w:bidi="en-US"/>
                    </w:rPr>
                  </w:pPr>
                  <w:r>
                    <w:rPr>
                      <w:b/>
                      <w:sz w:val="21"/>
                      <w:szCs w:val="21"/>
                      <w:lang w:bidi="en-US"/>
                    </w:rPr>
                    <w:t>单位</w:t>
                  </w:r>
                </w:p>
              </w:tc>
            </w:tr>
            <w:tr w14:paraId="1375BE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724" w:type="dxa"/>
                  <w:tcBorders>
                    <w:top w:val="single" w:color="auto" w:sz="4" w:space="0"/>
                    <w:left w:val="nil"/>
                    <w:bottom w:val="single" w:color="auto" w:sz="4" w:space="0"/>
                    <w:right w:val="single" w:color="auto" w:sz="4" w:space="0"/>
                  </w:tcBorders>
                  <w:vAlign w:val="center"/>
                </w:tcPr>
                <w:p w14:paraId="00D19260">
                  <w:pPr>
                    <w:adjustRightInd w:val="0"/>
                    <w:snapToGrid w:val="0"/>
                    <w:spacing w:line="320" w:lineRule="exact"/>
                    <w:ind w:firstLine="0" w:firstLineChars="0"/>
                    <w:jc w:val="center"/>
                    <w:rPr>
                      <w:bCs/>
                      <w:sz w:val="21"/>
                      <w:szCs w:val="21"/>
                      <w:lang w:bidi="en-US"/>
                    </w:rPr>
                  </w:pPr>
                  <w:r>
                    <w:rPr>
                      <w:rFonts w:hint="eastAsia"/>
                      <w:bCs/>
                      <w:sz w:val="21"/>
                      <w:szCs w:val="21"/>
                      <w:lang w:bidi="en-US"/>
                    </w:rPr>
                    <w:t>p</w:t>
                  </w:r>
                  <w:r>
                    <w:rPr>
                      <w:bCs/>
                      <w:sz w:val="21"/>
                      <w:szCs w:val="21"/>
                      <w:lang w:bidi="en-US"/>
                    </w:rPr>
                    <w:t>H</w:t>
                  </w:r>
                </w:p>
              </w:tc>
              <w:tc>
                <w:tcPr>
                  <w:tcW w:w="3264" w:type="dxa"/>
                  <w:tcBorders>
                    <w:top w:val="single" w:color="auto" w:sz="4" w:space="0"/>
                    <w:left w:val="single" w:color="auto" w:sz="4" w:space="0"/>
                    <w:bottom w:val="single" w:color="auto" w:sz="4" w:space="0"/>
                    <w:right w:val="single" w:color="auto" w:sz="4" w:space="0"/>
                  </w:tcBorders>
                  <w:vAlign w:val="center"/>
                </w:tcPr>
                <w:p w14:paraId="3519AF61">
                  <w:pPr>
                    <w:adjustRightInd w:val="0"/>
                    <w:snapToGrid w:val="0"/>
                    <w:spacing w:line="320" w:lineRule="exact"/>
                    <w:ind w:firstLine="0" w:firstLineChars="0"/>
                    <w:jc w:val="center"/>
                    <w:rPr>
                      <w:bCs/>
                      <w:sz w:val="21"/>
                      <w:szCs w:val="21"/>
                      <w:lang w:bidi="en-US"/>
                    </w:rPr>
                  </w:pPr>
                  <w:r>
                    <w:rPr>
                      <w:bCs/>
                      <w:sz w:val="21"/>
                      <w:szCs w:val="21"/>
                      <w:lang w:bidi="en-US"/>
                    </w:rPr>
                    <w:t>6～9</w:t>
                  </w:r>
                </w:p>
              </w:tc>
              <w:tc>
                <w:tcPr>
                  <w:tcW w:w="2191" w:type="dxa"/>
                  <w:tcBorders>
                    <w:top w:val="single" w:color="auto" w:sz="4" w:space="0"/>
                    <w:left w:val="single" w:color="auto" w:sz="4" w:space="0"/>
                    <w:bottom w:val="single" w:color="auto" w:sz="4" w:space="0"/>
                    <w:right w:val="nil"/>
                  </w:tcBorders>
                  <w:vAlign w:val="center"/>
                </w:tcPr>
                <w:p w14:paraId="7FA4A8AF">
                  <w:pPr>
                    <w:adjustRightInd w:val="0"/>
                    <w:snapToGrid w:val="0"/>
                    <w:spacing w:line="320" w:lineRule="exact"/>
                    <w:ind w:firstLine="0" w:firstLineChars="0"/>
                    <w:jc w:val="center"/>
                    <w:rPr>
                      <w:bCs/>
                      <w:sz w:val="21"/>
                      <w:szCs w:val="21"/>
                      <w:lang w:bidi="en-US"/>
                    </w:rPr>
                  </w:pPr>
                  <w:r>
                    <w:rPr>
                      <w:bCs/>
                      <w:sz w:val="21"/>
                      <w:szCs w:val="21"/>
                      <w:lang w:bidi="en-US"/>
                    </w:rPr>
                    <w:t>无量纲</w:t>
                  </w:r>
                </w:p>
              </w:tc>
            </w:tr>
            <w:tr w14:paraId="0ECD97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724" w:type="dxa"/>
                  <w:tcBorders>
                    <w:top w:val="single" w:color="auto" w:sz="4" w:space="0"/>
                    <w:left w:val="nil"/>
                    <w:bottom w:val="single" w:color="auto" w:sz="4" w:space="0"/>
                    <w:right w:val="single" w:color="auto" w:sz="4" w:space="0"/>
                  </w:tcBorders>
                  <w:vAlign w:val="center"/>
                </w:tcPr>
                <w:p w14:paraId="456E4D2E">
                  <w:pPr>
                    <w:adjustRightInd w:val="0"/>
                    <w:snapToGrid w:val="0"/>
                    <w:spacing w:line="320" w:lineRule="exact"/>
                    <w:ind w:firstLine="0" w:firstLineChars="0"/>
                    <w:jc w:val="center"/>
                    <w:rPr>
                      <w:bCs/>
                      <w:sz w:val="21"/>
                      <w:szCs w:val="21"/>
                      <w:lang w:bidi="en-US"/>
                    </w:rPr>
                  </w:pPr>
                  <w:r>
                    <w:rPr>
                      <w:bCs/>
                      <w:sz w:val="21"/>
                      <w:szCs w:val="21"/>
                      <w:lang w:bidi="en-US"/>
                    </w:rPr>
                    <w:t>悬浮物（SS）</w:t>
                  </w:r>
                </w:p>
              </w:tc>
              <w:tc>
                <w:tcPr>
                  <w:tcW w:w="3264" w:type="dxa"/>
                  <w:tcBorders>
                    <w:top w:val="single" w:color="auto" w:sz="4" w:space="0"/>
                    <w:left w:val="single" w:color="auto" w:sz="4" w:space="0"/>
                    <w:bottom w:val="single" w:color="auto" w:sz="4" w:space="0"/>
                    <w:right w:val="single" w:color="auto" w:sz="4" w:space="0"/>
                  </w:tcBorders>
                  <w:vAlign w:val="center"/>
                </w:tcPr>
                <w:p w14:paraId="46C63401">
                  <w:pPr>
                    <w:adjustRightInd w:val="0"/>
                    <w:snapToGrid w:val="0"/>
                    <w:spacing w:line="320" w:lineRule="exact"/>
                    <w:ind w:firstLine="0" w:firstLineChars="0"/>
                    <w:jc w:val="center"/>
                    <w:rPr>
                      <w:bCs/>
                      <w:sz w:val="21"/>
                      <w:szCs w:val="21"/>
                      <w:lang w:bidi="en-US"/>
                    </w:rPr>
                  </w:pPr>
                  <w:r>
                    <w:rPr>
                      <w:bCs/>
                      <w:sz w:val="21"/>
                      <w:szCs w:val="21"/>
                      <w:lang w:bidi="en-US"/>
                    </w:rPr>
                    <w:t>400</w:t>
                  </w:r>
                </w:p>
              </w:tc>
              <w:tc>
                <w:tcPr>
                  <w:tcW w:w="2191" w:type="dxa"/>
                  <w:tcBorders>
                    <w:top w:val="single" w:color="auto" w:sz="4" w:space="0"/>
                    <w:left w:val="single" w:color="auto" w:sz="4" w:space="0"/>
                    <w:bottom w:val="single" w:color="auto" w:sz="4" w:space="0"/>
                    <w:right w:val="nil"/>
                  </w:tcBorders>
                  <w:vAlign w:val="center"/>
                </w:tcPr>
                <w:p w14:paraId="225A4E37">
                  <w:pPr>
                    <w:adjustRightInd w:val="0"/>
                    <w:snapToGrid w:val="0"/>
                    <w:spacing w:line="320" w:lineRule="exact"/>
                    <w:ind w:firstLine="0" w:firstLineChars="0"/>
                    <w:jc w:val="center"/>
                    <w:rPr>
                      <w:bCs/>
                      <w:sz w:val="21"/>
                      <w:szCs w:val="21"/>
                      <w:lang w:bidi="en-US"/>
                    </w:rPr>
                  </w:pPr>
                  <w:r>
                    <w:rPr>
                      <w:bCs/>
                      <w:sz w:val="21"/>
                      <w:szCs w:val="21"/>
                      <w:lang w:bidi="en-US"/>
                    </w:rPr>
                    <w:t>mg/L</w:t>
                  </w:r>
                </w:p>
              </w:tc>
            </w:tr>
            <w:tr w14:paraId="3CFCF6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724" w:type="dxa"/>
                  <w:tcBorders>
                    <w:top w:val="single" w:color="auto" w:sz="4" w:space="0"/>
                    <w:left w:val="nil"/>
                    <w:bottom w:val="single" w:color="auto" w:sz="4" w:space="0"/>
                    <w:right w:val="single" w:color="auto" w:sz="4" w:space="0"/>
                  </w:tcBorders>
                  <w:vAlign w:val="center"/>
                </w:tcPr>
                <w:p w14:paraId="468C58EA">
                  <w:pPr>
                    <w:adjustRightInd w:val="0"/>
                    <w:snapToGrid w:val="0"/>
                    <w:spacing w:line="320" w:lineRule="exact"/>
                    <w:ind w:firstLine="0" w:firstLineChars="0"/>
                    <w:jc w:val="center"/>
                    <w:rPr>
                      <w:bCs/>
                      <w:sz w:val="21"/>
                      <w:szCs w:val="21"/>
                      <w:lang w:bidi="en-US"/>
                    </w:rPr>
                  </w:pPr>
                  <w:r>
                    <w:rPr>
                      <w:bCs/>
                      <w:sz w:val="21"/>
                      <w:szCs w:val="21"/>
                      <w:lang w:bidi="en-US"/>
                    </w:rPr>
                    <w:t>五日生化需氧量（BOD</w:t>
                  </w:r>
                  <w:r>
                    <w:rPr>
                      <w:bCs/>
                      <w:sz w:val="21"/>
                      <w:szCs w:val="21"/>
                      <w:vertAlign w:val="subscript"/>
                      <w:lang w:bidi="en-US"/>
                    </w:rPr>
                    <w:t>5</w:t>
                  </w:r>
                  <w:r>
                    <w:rPr>
                      <w:bCs/>
                      <w:sz w:val="21"/>
                      <w:szCs w:val="21"/>
                      <w:lang w:bidi="en-US"/>
                    </w:rPr>
                    <w:t>）</w:t>
                  </w:r>
                </w:p>
              </w:tc>
              <w:tc>
                <w:tcPr>
                  <w:tcW w:w="3264" w:type="dxa"/>
                  <w:tcBorders>
                    <w:top w:val="single" w:color="auto" w:sz="4" w:space="0"/>
                    <w:left w:val="single" w:color="auto" w:sz="4" w:space="0"/>
                    <w:bottom w:val="single" w:color="auto" w:sz="4" w:space="0"/>
                    <w:right w:val="single" w:color="auto" w:sz="4" w:space="0"/>
                  </w:tcBorders>
                  <w:vAlign w:val="center"/>
                </w:tcPr>
                <w:p w14:paraId="7E456D4B">
                  <w:pPr>
                    <w:adjustRightInd w:val="0"/>
                    <w:snapToGrid w:val="0"/>
                    <w:spacing w:line="320" w:lineRule="exact"/>
                    <w:ind w:firstLine="0" w:firstLineChars="0"/>
                    <w:jc w:val="center"/>
                    <w:rPr>
                      <w:bCs/>
                      <w:sz w:val="21"/>
                      <w:szCs w:val="21"/>
                      <w:lang w:bidi="en-US"/>
                    </w:rPr>
                  </w:pPr>
                  <w:r>
                    <w:rPr>
                      <w:bCs/>
                      <w:sz w:val="21"/>
                      <w:szCs w:val="21"/>
                      <w:lang w:bidi="en-US"/>
                    </w:rPr>
                    <w:t>300</w:t>
                  </w:r>
                </w:p>
              </w:tc>
              <w:tc>
                <w:tcPr>
                  <w:tcW w:w="2191" w:type="dxa"/>
                  <w:tcBorders>
                    <w:top w:val="single" w:color="auto" w:sz="4" w:space="0"/>
                    <w:left w:val="single" w:color="auto" w:sz="4" w:space="0"/>
                    <w:bottom w:val="single" w:color="auto" w:sz="4" w:space="0"/>
                    <w:right w:val="nil"/>
                  </w:tcBorders>
                  <w:vAlign w:val="center"/>
                </w:tcPr>
                <w:p w14:paraId="7E806937">
                  <w:pPr>
                    <w:adjustRightInd w:val="0"/>
                    <w:snapToGrid w:val="0"/>
                    <w:spacing w:line="320" w:lineRule="exact"/>
                    <w:ind w:firstLine="0" w:firstLineChars="0"/>
                    <w:jc w:val="center"/>
                    <w:rPr>
                      <w:bCs/>
                      <w:sz w:val="21"/>
                      <w:szCs w:val="21"/>
                      <w:lang w:bidi="en-US"/>
                    </w:rPr>
                  </w:pPr>
                  <w:r>
                    <w:rPr>
                      <w:bCs/>
                      <w:sz w:val="21"/>
                      <w:szCs w:val="21"/>
                      <w:lang w:bidi="en-US"/>
                    </w:rPr>
                    <w:t>mg/L</w:t>
                  </w:r>
                </w:p>
              </w:tc>
            </w:tr>
            <w:tr w14:paraId="1CF84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724" w:type="dxa"/>
                  <w:tcBorders>
                    <w:top w:val="single" w:color="auto" w:sz="4" w:space="0"/>
                    <w:left w:val="nil"/>
                    <w:bottom w:val="single" w:color="auto" w:sz="4" w:space="0"/>
                    <w:right w:val="single" w:color="auto" w:sz="4" w:space="0"/>
                  </w:tcBorders>
                  <w:vAlign w:val="center"/>
                </w:tcPr>
                <w:p w14:paraId="120DF8F0">
                  <w:pPr>
                    <w:adjustRightInd w:val="0"/>
                    <w:snapToGrid w:val="0"/>
                    <w:spacing w:line="320" w:lineRule="exact"/>
                    <w:ind w:firstLine="0" w:firstLineChars="0"/>
                    <w:jc w:val="center"/>
                    <w:rPr>
                      <w:bCs/>
                      <w:sz w:val="21"/>
                      <w:szCs w:val="21"/>
                      <w:lang w:bidi="en-US"/>
                    </w:rPr>
                  </w:pPr>
                  <w:r>
                    <w:rPr>
                      <w:bCs/>
                      <w:sz w:val="21"/>
                      <w:szCs w:val="21"/>
                      <w:lang w:bidi="en-US"/>
                    </w:rPr>
                    <w:t>化学需氧量（COD）</w:t>
                  </w:r>
                </w:p>
              </w:tc>
              <w:tc>
                <w:tcPr>
                  <w:tcW w:w="3264" w:type="dxa"/>
                  <w:tcBorders>
                    <w:top w:val="single" w:color="auto" w:sz="4" w:space="0"/>
                    <w:left w:val="single" w:color="auto" w:sz="4" w:space="0"/>
                    <w:bottom w:val="single" w:color="auto" w:sz="4" w:space="0"/>
                    <w:right w:val="single" w:color="auto" w:sz="4" w:space="0"/>
                  </w:tcBorders>
                  <w:vAlign w:val="center"/>
                </w:tcPr>
                <w:p w14:paraId="7090CED4">
                  <w:pPr>
                    <w:adjustRightInd w:val="0"/>
                    <w:snapToGrid w:val="0"/>
                    <w:spacing w:line="320" w:lineRule="exact"/>
                    <w:ind w:firstLine="0" w:firstLineChars="0"/>
                    <w:jc w:val="center"/>
                    <w:rPr>
                      <w:bCs/>
                      <w:sz w:val="21"/>
                      <w:szCs w:val="21"/>
                      <w:lang w:bidi="en-US"/>
                    </w:rPr>
                  </w:pPr>
                  <w:r>
                    <w:rPr>
                      <w:bCs/>
                      <w:sz w:val="21"/>
                      <w:szCs w:val="21"/>
                      <w:lang w:bidi="en-US"/>
                    </w:rPr>
                    <w:t>500</w:t>
                  </w:r>
                </w:p>
              </w:tc>
              <w:tc>
                <w:tcPr>
                  <w:tcW w:w="2191" w:type="dxa"/>
                  <w:tcBorders>
                    <w:top w:val="single" w:color="auto" w:sz="4" w:space="0"/>
                    <w:left w:val="single" w:color="auto" w:sz="4" w:space="0"/>
                    <w:bottom w:val="single" w:color="auto" w:sz="4" w:space="0"/>
                    <w:right w:val="nil"/>
                  </w:tcBorders>
                  <w:vAlign w:val="center"/>
                </w:tcPr>
                <w:p w14:paraId="4EE21187">
                  <w:pPr>
                    <w:adjustRightInd w:val="0"/>
                    <w:snapToGrid w:val="0"/>
                    <w:spacing w:line="320" w:lineRule="exact"/>
                    <w:ind w:firstLine="0" w:firstLineChars="0"/>
                    <w:jc w:val="center"/>
                    <w:rPr>
                      <w:bCs/>
                      <w:sz w:val="21"/>
                      <w:szCs w:val="21"/>
                      <w:lang w:bidi="en-US"/>
                    </w:rPr>
                  </w:pPr>
                  <w:r>
                    <w:rPr>
                      <w:bCs/>
                      <w:sz w:val="21"/>
                      <w:szCs w:val="21"/>
                      <w:lang w:bidi="en-US"/>
                    </w:rPr>
                    <w:t>mg/L</w:t>
                  </w:r>
                </w:p>
              </w:tc>
            </w:tr>
            <w:tr w14:paraId="7D3F72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724" w:type="dxa"/>
                  <w:tcBorders>
                    <w:top w:val="single" w:color="auto" w:sz="4" w:space="0"/>
                    <w:left w:val="nil"/>
                    <w:bottom w:val="single" w:color="auto" w:sz="4" w:space="0"/>
                    <w:right w:val="single" w:color="auto" w:sz="4" w:space="0"/>
                  </w:tcBorders>
                  <w:vAlign w:val="center"/>
                </w:tcPr>
                <w:p w14:paraId="35198AF0">
                  <w:pPr>
                    <w:adjustRightInd w:val="0"/>
                    <w:snapToGrid w:val="0"/>
                    <w:spacing w:line="320" w:lineRule="exact"/>
                    <w:ind w:firstLine="0" w:firstLineChars="0"/>
                    <w:jc w:val="center"/>
                    <w:rPr>
                      <w:bCs/>
                      <w:sz w:val="21"/>
                      <w:szCs w:val="21"/>
                      <w:lang w:bidi="en-US"/>
                    </w:rPr>
                  </w:pPr>
                  <w:r>
                    <w:rPr>
                      <w:bCs/>
                      <w:sz w:val="21"/>
                      <w:szCs w:val="21"/>
                      <w:lang w:bidi="en-US"/>
                    </w:rPr>
                    <w:t>氨氮（NH</w:t>
                  </w:r>
                  <w:r>
                    <w:rPr>
                      <w:bCs/>
                      <w:sz w:val="21"/>
                      <w:szCs w:val="21"/>
                      <w:vertAlign w:val="subscript"/>
                      <w:lang w:bidi="en-US"/>
                    </w:rPr>
                    <w:t>3</w:t>
                  </w:r>
                  <w:r>
                    <w:rPr>
                      <w:bCs/>
                      <w:sz w:val="21"/>
                      <w:szCs w:val="21"/>
                      <w:lang w:bidi="en-US"/>
                    </w:rPr>
                    <w:t>-N）</w:t>
                  </w:r>
                </w:p>
              </w:tc>
              <w:tc>
                <w:tcPr>
                  <w:tcW w:w="3264" w:type="dxa"/>
                  <w:tcBorders>
                    <w:top w:val="single" w:color="auto" w:sz="4" w:space="0"/>
                    <w:left w:val="single" w:color="auto" w:sz="4" w:space="0"/>
                    <w:bottom w:val="single" w:color="auto" w:sz="4" w:space="0"/>
                    <w:right w:val="single" w:color="auto" w:sz="4" w:space="0"/>
                  </w:tcBorders>
                  <w:vAlign w:val="center"/>
                </w:tcPr>
                <w:p w14:paraId="0C4D3F8E">
                  <w:pPr>
                    <w:adjustRightInd w:val="0"/>
                    <w:snapToGrid w:val="0"/>
                    <w:spacing w:line="320" w:lineRule="exact"/>
                    <w:ind w:firstLine="0" w:firstLineChars="0"/>
                    <w:jc w:val="center"/>
                    <w:rPr>
                      <w:bCs/>
                      <w:sz w:val="21"/>
                      <w:szCs w:val="21"/>
                      <w:lang w:bidi="en-US"/>
                    </w:rPr>
                  </w:pPr>
                  <w:r>
                    <w:rPr>
                      <w:bCs/>
                      <w:sz w:val="21"/>
                      <w:szCs w:val="21"/>
                      <w:lang w:bidi="en-US"/>
                    </w:rPr>
                    <w:t>45</w:t>
                  </w:r>
                </w:p>
              </w:tc>
              <w:tc>
                <w:tcPr>
                  <w:tcW w:w="2191" w:type="dxa"/>
                  <w:tcBorders>
                    <w:top w:val="single" w:color="auto" w:sz="4" w:space="0"/>
                    <w:left w:val="single" w:color="auto" w:sz="4" w:space="0"/>
                    <w:bottom w:val="single" w:color="auto" w:sz="4" w:space="0"/>
                    <w:right w:val="nil"/>
                  </w:tcBorders>
                  <w:vAlign w:val="center"/>
                </w:tcPr>
                <w:p w14:paraId="0A38B9E1">
                  <w:pPr>
                    <w:adjustRightInd w:val="0"/>
                    <w:snapToGrid w:val="0"/>
                    <w:spacing w:line="320" w:lineRule="exact"/>
                    <w:ind w:firstLine="0" w:firstLineChars="0"/>
                    <w:jc w:val="center"/>
                    <w:rPr>
                      <w:bCs/>
                      <w:sz w:val="21"/>
                      <w:szCs w:val="21"/>
                      <w:lang w:bidi="en-US"/>
                    </w:rPr>
                  </w:pPr>
                  <w:r>
                    <w:rPr>
                      <w:bCs/>
                      <w:sz w:val="21"/>
                      <w:szCs w:val="21"/>
                      <w:lang w:bidi="en-US"/>
                    </w:rPr>
                    <w:t>mg/L</w:t>
                  </w:r>
                </w:p>
              </w:tc>
            </w:tr>
            <w:tr w14:paraId="04E6E3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8179" w:type="dxa"/>
                  <w:gridSpan w:val="3"/>
                  <w:tcBorders>
                    <w:top w:val="single" w:color="auto" w:sz="4" w:space="0"/>
                    <w:left w:val="nil"/>
                    <w:bottom w:val="single" w:color="auto" w:sz="12" w:space="0"/>
                    <w:right w:val="nil"/>
                  </w:tcBorders>
                  <w:vAlign w:val="center"/>
                </w:tcPr>
                <w:p w14:paraId="6BD3F833">
                  <w:pPr>
                    <w:adjustRightInd w:val="0"/>
                    <w:snapToGrid w:val="0"/>
                    <w:spacing w:line="320" w:lineRule="exact"/>
                    <w:ind w:firstLine="0" w:firstLineChars="0"/>
                    <w:jc w:val="center"/>
                    <w:rPr>
                      <w:bCs/>
                      <w:sz w:val="21"/>
                      <w:szCs w:val="21"/>
                      <w:lang w:bidi="en-US"/>
                    </w:rPr>
                  </w:pPr>
                  <w:r>
                    <w:rPr>
                      <w:bCs/>
                      <w:sz w:val="21"/>
                      <w:szCs w:val="21"/>
                      <w:lang w:bidi="en-US"/>
                    </w:rPr>
                    <w:t>注：氨氮</w:t>
                  </w:r>
                  <w:r>
                    <w:rPr>
                      <w:rFonts w:hint="eastAsia"/>
                      <w:bCs/>
                      <w:sz w:val="21"/>
                      <w:szCs w:val="21"/>
                      <w:lang w:bidi="en-US"/>
                    </w:rPr>
                    <w:t>参照</w:t>
                  </w:r>
                  <w:r>
                    <w:rPr>
                      <w:bCs/>
                      <w:sz w:val="21"/>
                      <w:szCs w:val="21"/>
                      <w:lang w:bidi="en-US"/>
                    </w:rPr>
                    <w:t>执行《污水排入城镇下水道水质标准》（GB/T31962-2015）B级标准限值</w:t>
                  </w:r>
                </w:p>
              </w:tc>
            </w:tr>
          </w:tbl>
          <w:p w14:paraId="6754CE66">
            <w:pPr>
              <w:keepNext/>
              <w:keepLines/>
              <w:ind w:firstLine="0" w:firstLineChars="0"/>
              <w:jc w:val="left"/>
              <w:outlineLvl w:val="2"/>
              <w:rPr>
                <w:b/>
                <w:bCs/>
                <w:sz w:val="28"/>
                <w:szCs w:val="32"/>
              </w:rPr>
            </w:pPr>
            <w:r>
              <w:rPr>
                <w:b/>
                <w:bCs/>
                <w:sz w:val="28"/>
                <w:szCs w:val="32"/>
              </w:rPr>
              <w:t>3.7.2 大气污染物排放标准</w:t>
            </w:r>
          </w:p>
          <w:p w14:paraId="73489B60">
            <w:pPr>
              <w:ind w:firstLine="480"/>
            </w:pPr>
            <w:r>
              <w:rPr>
                <w:rFonts w:hint="eastAsia"/>
              </w:rPr>
              <w:t>项目生产工艺废气主要来源于</w:t>
            </w:r>
            <w:r>
              <w:rPr>
                <w:bCs/>
                <w:szCs w:val="21"/>
              </w:rPr>
              <w:t>投料</w:t>
            </w:r>
            <w:r>
              <w:rPr>
                <w:rFonts w:hint="eastAsia"/>
                <w:bCs/>
                <w:szCs w:val="21"/>
              </w:rPr>
              <w:t>、搅拌和出料包装</w:t>
            </w:r>
            <w:r>
              <w:rPr>
                <w:rFonts w:hint="eastAsia"/>
              </w:rPr>
              <w:t>工序，主要污染物为颗粒物。依据《关于执行大气污染物特别排放限值的公告》（环境保护部公告2013年第14号），福建省福州市属于海峡西岸城市群，纳入重点控制区范围。因此，本项目颗粒物执行《水泥工业大气污染物排放标准》（GB4915-2013）表2</w:t>
            </w:r>
            <w:r>
              <w:t>中</w:t>
            </w:r>
            <w:r>
              <w:rPr>
                <w:rFonts w:hint="eastAsia"/>
              </w:rPr>
              <w:t>大气污染物特别</w:t>
            </w:r>
            <w:r>
              <w:t>排放限值</w:t>
            </w:r>
            <w:r>
              <w:rPr>
                <w:rFonts w:hint="eastAsia"/>
              </w:rPr>
              <w:t>要求，</w:t>
            </w:r>
            <w:r>
              <w:t>具体标准限值见表</w:t>
            </w:r>
            <w:r>
              <w:rPr>
                <w:rFonts w:hint="eastAsia"/>
              </w:rPr>
              <w:t>3.7-2。</w:t>
            </w:r>
          </w:p>
          <w:p w14:paraId="7228C6CC">
            <w:pPr>
              <w:spacing w:before="120" w:beforeLines="50" w:line="240" w:lineRule="auto"/>
              <w:ind w:firstLine="0" w:firstLineChars="0"/>
              <w:jc w:val="center"/>
              <w:rPr>
                <w:b/>
                <w:bCs/>
              </w:rPr>
            </w:pPr>
            <w:r>
              <w:rPr>
                <w:rFonts w:hint="eastAsia"/>
                <w:b/>
                <w:bCs/>
              </w:rPr>
              <w:t>表3.7-2《水泥工业大气污染物排放标准》（GB4915-2013）（摘录）</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442"/>
              <w:gridCol w:w="1830"/>
              <w:gridCol w:w="1573"/>
              <w:gridCol w:w="2240"/>
            </w:tblGrid>
            <w:tr w14:paraId="0C1D1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7" w:type="pct"/>
                  <w:vMerge w:val="restart"/>
                  <w:vAlign w:val="center"/>
                </w:tcPr>
                <w:p w14:paraId="7C8F1989">
                  <w:pPr>
                    <w:adjustRightInd w:val="0"/>
                    <w:snapToGrid w:val="0"/>
                    <w:spacing w:line="240" w:lineRule="auto"/>
                    <w:ind w:firstLine="0" w:firstLineChars="0"/>
                    <w:jc w:val="center"/>
                    <w:rPr>
                      <w:b/>
                      <w:color w:val="000000"/>
                      <w:sz w:val="21"/>
                      <w:szCs w:val="21"/>
                    </w:rPr>
                  </w:pPr>
                  <w:r>
                    <w:rPr>
                      <w:b/>
                      <w:color w:val="000000"/>
                      <w:sz w:val="21"/>
                      <w:szCs w:val="21"/>
                    </w:rPr>
                    <w:t>污染物</w:t>
                  </w:r>
                </w:p>
              </w:tc>
              <w:tc>
                <w:tcPr>
                  <w:tcW w:w="871" w:type="pct"/>
                  <w:vMerge w:val="restart"/>
                  <w:vAlign w:val="center"/>
                </w:tcPr>
                <w:p w14:paraId="624C8E45">
                  <w:pPr>
                    <w:adjustRightInd w:val="0"/>
                    <w:snapToGrid w:val="0"/>
                    <w:spacing w:line="240" w:lineRule="auto"/>
                    <w:ind w:firstLine="0" w:firstLineChars="0"/>
                    <w:jc w:val="center"/>
                    <w:rPr>
                      <w:b/>
                      <w:color w:val="000000"/>
                      <w:sz w:val="21"/>
                      <w:szCs w:val="21"/>
                    </w:rPr>
                  </w:pPr>
                  <w:r>
                    <w:rPr>
                      <w:rFonts w:hint="eastAsia"/>
                      <w:b/>
                      <w:color w:val="000000"/>
                      <w:sz w:val="21"/>
                      <w:szCs w:val="21"/>
                    </w:rPr>
                    <w:t>有组织</w:t>
                  </w:r>
                  <w:r>
                    <w:rPr>
                      <w:b/>
                      <w:color w:val="000000"/>
                      <w:sz w:val="21"/>
                      <w:szCs w:val="21"/>
                    </w:rPr>
                    <w:t>排放浓度限值</w:t>
                  </w:r>
                </w:p>
                <w:p w14:paraId="5B52EBF6">
                  <w:pPr>
                    <w:adjustRightInd w:val="0"/>
                    <w:snapToGrid w:val="0"/>
                    <w:spacing w:line="240" w:lineRule="auto"/>
                    <w:ind w:firstLine="0" w:firstLineChars="0"/>
                    <w:jc w:val="center"/>
                    <w:rPr>
                      <w:b/>
                      <w:color w:val="000000"/>
                      <w:sz w:val="21"/>
                      <w:szCs w:val="21"/>
                    </w:rPr>
                  </w:pPr>
                  <w:r>
                    <w:rPr>
                      <w:rFonts w:hint="eastAsia"/>
                      <w:b/>
                      <w:color w:val="000000"/>
                      <w:sz w:val="21"/>
                      <w:szCs w:val="21"/>
                    </w:rPr>
                    <w:t>(</w:t>
                  </w:r>
                  <w:r>
                    <w:rPr>
                      <w:b/>
                      <w:color w:val="000000"/>
                      <w:sz w:val="21"/>
                      <w:szCs w:val="21"/>
                    </w:rPr>
                    <w:t>mg/m</w:t>
                  </w:r>
                  <w:r>
                    <w:rPr>
                      <w:b/>
                      <w:color w:val="000000"/>
                      <w:sz w:val="21"/>
                      <w:szCs w:val="21"/>
                      <w:vertAlign w:val="superscript"/>
                    </w:rPr>
                    <w:t>3</w:t>
                  </w:r>
                  <w:r>
                    <w:rPr>
                      <w:rFonts w:hint="eastAsia"/>
                      <w:b/>
                      <w:color w:val="000000"/>
                      <w:sz w:val="21"/>
                      <w:szCs w:val="21"/>
                      <w:vertAlign w:val="superscript"/>
                    </w:rPr>
                    <w:t>)</w:t>
                  </w:r>
                </w:p>
              </w:tc>
              <w:tc>
                <w:tcPr>
                  <w:tcW w:w="2057" w:type="pct"/>
                  <w:gridSpan w:val="2"/>
                  <w:vAlign w:val="center"/>
                </w:tcPr>
                <w:p w14:paraId="530CC5AE">
                  <w:pPr>
                    <w:adjustRightInd w:val="0"/>
                    <w:snapToGrid w:val="0"/>
                    <w:spacing w:line="240" w:lineRule="auto"/>
                    <w:ind w:firstLine="0" w:firstLineChars="0"/>
                    <w:jc w:val="center"/>
                    <w:rPr>
                      <w:b/>
                      <w:color w:val="000000"/>
                      <w:sz w:val="21"/>
                      <w:szCs w:val="21"/>
                    </w:rPr>
                  </w:pPr>
                  <w:r>
                    <w:rPr>
                      <w:rFonts w:hint="eastAsia"/>
                      <w:b/>
                      <w:color w:val="000000"/>
                      <w:sz w:val="21"/>
                      <w:szCs w:val="21"/>
                    </w:rPr>
                    <w:t>无组织排放浓度限值</w:t>
                  </w:r>
                </w:p>
              </w:tc>
              <w:tc>
                <w:tcPr>
                  <w:tcW w:w="1354" w:type="pct"/>
                  <w:vMerge w:val="restart"/>
                  <w:vAlign w:val="center"/>
                </w:tcPr>
                <w:p w14:paraId="37866385">
                  <w:pPr>
                    <w:adjustRightInd w:val="0"/>
                    <w:snapToGrid w:val="0"/>
                    <w:spacing w:line="240" w:lineRule="auto"/>
                    <w:ind w:firstLine="0" w:firstLineChars="0"/>
                    <w:jc w:val="center"/>
                    <w:rPr>
                      <w:b/>
                      <w:color w:val="000000"/>
                      <w:sz w:val="21"/>
                      <w:szCs w:val="21"/>
                    </w:rPr>
                  </w:pPr>
                  <w:r>
                    <w:rPr>
                      <w:rFonts w:hint="eastAsia"/>
                      <w:b/>
                      <w:color w:val="000000"/>
                      <w:sz w:val="21"/>
                      <w:szCs w:val="21"/>
                    </w:rPr>
                    <w:t>限值含义</w:t>
                  </w:r>
                </w:p>
              </w:tc>
            </w:tr>
            <w:tr w14:paraId="6A43F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7" w:type="pct"/>
                  <w:vMerge w:val="continue"/>
                  <w:vAlign w:val="center"/>
                </w:tcPr>
                <w:p w14:paraId="531F2CF4">
                  <w:pPr>
                    <w:adjustRightInd w:val="0"/>
                    <w:snapToGrid w:val="0"/>
                    <w:spacing w:line="240" w:lineRule="auto"/>
                    <w:ind w:firstLine="0" w:firstLineChars="0"/>
                    <w:jc w:val="center"/>
                    <w:rPr>
                      <w:b/>
                      <w:color w:val="000000"/>
                      <w:sz w:val="21"/>
                      <w:szCs w:val="21"/>
                    </w:rPr>
                  </w:pPr>
                </w:p>
              </w:tc>
              <w:tc>
                <w:tcPr>
                  <w:tcW w:w="871" w:type="pct"/>
                  <w:vMerge w:val="continue"/>
                  <w:vAlign w:val="center"/>
                </w:tcPr>
                <w:p w14:paraId="3CC608EC">
                  <w:pPr>
                    <w:adjustRightInd w:val="0"/>
                    <w:snapToGrid w:val="0"/>
                    <w:spacing w:line="240" w:lineRule="auto"/>
                    <w:ind w:firstLine="0" w:firstLineChars="0"/>
                    <w:jc w:val="center"/>
                    <w:rPr>
                      <w:b/>
                      <w:color w:val="000000"/>
                      <w:sz w:val="21"/>
                      <w:szCs w:val="21"/>
                    </w:rPr>
                  </w:pPr>
                </w:p>
              </w:tc>
              <w:tc>
                <w:tcPr>
                  <w:tcW w:w="1106" w:type="pct"/>
                  <w:vAlign w:val="center"/>
                </w:tcPr>
                <w:p w14:paraId="2880965A">
                  <w:pPr>
                    <w:adjustRightInd w:val="0"/>
                    <w:snapToGrid w:val="0"/>
                    <w:spacing w:line="240" w:lineRule="auto"/>
                    <w:ind w:firstLine="0" w:firstLineChars="0"/>
                    <w:jc w:val="center"/>
                    <w:rPr>
                      <w:b/>
                      <w:color w:val="000000"/>
                      <w:sz w:val="21"/>
                      <w:szCs w:val="21"/>
                    </w:rPr>
                  </w:pPr>
                  <w:r>
                    <w:rPr>
                      <w:rFonts w:hint="eastAsia"/>
                      <w:b/>
                      <w:color w:val="000000"/>
                      <w:sz w:val="21"/>
                      <w:szCs w:val="21"/>
                    </w:rPr>
                    <w:t>无组织排放监控位置</w:t>
                  </w:r>
                </w:p>
              </w:tc>
              <w:tc>
                <w:tcPr>
                  <w:tcW w:w="950" w:type="pct"/>
                  <w:vAlign w:val="center"/>
                </w:tcPr>
                <w:p w14:paraId="1A851716">
                  <w:pPr>
                    <w:adjustRightInd w:val="0"/>
                    <w:snapToGrid w:val="0"/>
                    <w:spacing w:line="240" w:lineRule="auto"/>
                    <w:ind w:firstLine="0" w:firstLineChars="0"/>
                    <w:jc w:val="center"/>
                    <w:rPr>
                      <w:b/>
                      <w:color w:val="000000"/>
                      <w:sz w:val="21"/>
                      <w:szCs w:val="21"/>
                    </w:rPr>
                  </w:pPr>
                  <w:r>
                    <w:rPr>
                      <w:b/>
                      <w:color w:val="000000"/>
                      <w:sz w:val="21"/>
                      <w:szCs w:val="21"/>
                    </w:rPr>
                    <w:t>排放浓度限值</w:t>
                  </w:r>
                </w:p>
                <w:p w14:paraId="52BBC746">
                  <w:pPr>
                    <w:adjustRightInd w:val="0"/>
                    <w:snapToGrid w:val="0"/>
                    <w:spacing w:line="240" w:lineRule="auto"/>
                    <w:ind w:firstLine="0" w:firstLineChars="0"/>
                    <w:jc w:val="center"/>
                    <w:rPr>
                      <w:b/>
                      <w:color w:val="000000"/>
                      <w:sz w:val="21"/>
                      <w:szCs w:val="21"/>
                    </w:rPr>
                  </w:pPr>
                  <w:r>
                    <w:rPr>
                      <w:rFonts w:hint="eastAsia"/>
                      <w:b/>
                      <w:color w:val="000000"/>
                      <w:sz w:val="21"/>
                      <w:szCs w:val="21"/>
                    </w:rPr>
                    <w:t>(</w:t>
                  </w:r>
                  <w:r>
                    <w:rPr>
                      <w:b/>
                      <w:color w:val="000000"/>
                      <w:sz w:val="21"/>
                      <w:szCs w:val="21"/>
                    </w:rPr>
                    <w:t>mg/m</w:t>
                  </w:r>
                  <w:r>
                    <w:rPr>
                      <w:b/>
                      <w:color w:val="000000"/>
                      <w:sz w:val="21"/>
                      <w:szCs w:val="21"/>
                      <w:vertAlign w:val="superscript"/>
                    </w:rPr>
                    <w:t>3</w:t>
                  </w:r>
                  <w:r>
                    <w:rPr>
                      <w:rFonts w:hint="eastAsia"/>
                      <w:b/>
                      <w:color w:val="000000"/>
                      <w:sz w:val="21"/>
                      <w:szCs w:val="21"/>
                      <w:vertAlign w:val="superscript"/>
                    </w:rPr>
                    <w:t>)</w:t>
                  </w:r>
                </w:p>
              </w:tc>
              <w:tc>
                <w:tcPr>
                  <w:tcW w:w="1354" w:type="pct"/>
                  <w:vMerge w:val="continue"/>
                  <w:vAlign w:val="center"/>
                </w:tcPr>
                <w:p w14:paraId="019282C6">
                  <w:pPr>
                    <w:adjustRightInd w:val="0"/>
                    <w:snapToGrid w:val="0"/>
                    <w:spacing w:line="240" w:lineRule="auto"/>
                    <w:ind w:firstLine="0" w:firstLineChars="0"/>
                    <w:jc w:val="center"/>
                    <w:rPr>
                      <w:b/>
                      <w:color w:val="000000"/>
                      <w:sz w:val="21"/>
                      <w:szCs w:val="21"/>
                    </w:rPr>
                  </w:pPr>
                </w:p>
              </w:tc>
            </w:tr>
            <w:tr w14:paraId="0EDD10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7" w:type="pct"/>
                  <w:vAlign w:val="center"/>
                </w:tcPr>
                <w:p w14:paraId="74483427">
                  <w:pPr>
                    <w:adjustRightInd w:val="0"/>
                    <w:snapToGrid w:val="0"/>
                    <w:spacing w:line="240" w:lineRule="auto"/>
                    <w:ind w:firstLine="0" w:firstLineChars="0"/>
                    <w:jc w:val="center"/>
                    <w:rPr>
                      <w:color w:val="000000"/>
                      <w:sz w:val="21"/>
                      <w:szCs w:val="21"/>
                    </w:rPr>
                  </w:pPr>
                  <w:r>
                    <w:rPr>
                      <w:color w:val="000000"/>
                      <w:sz w:val="21"/>
                      <w:szCs w:val="21"/>
                    </w:rPr>
                    <w:t>颗粒物</w:t>
                  </w:r>
                </w:p>
              </w:tc>
              <w:tc>
                <w:tcPr>
                  <w:tcW w:w="871" w:type="pct"/>
                  <w:vAlign w:val="center"/>
                </w:tcPr>
                <w:p w14:paraId="65A49FE9">
                  <w:pPr>
                    <w:pStyle w:val="75"/>
                    <w:spacing w:line="240" w:lineRule="auto"/>
                    <w:ind w:firstLine="0" w:firstLineChars="0"/>
                    <w:rPr>
                      <w:rFonts w:ascii="Times New Roman" w:eastAsia="宋体"/>
                      <w:bCs/>
                      <w:color w:val="000000"/>
                      <w:sz w:val="21"/>
                    </w:rPr>
                  </w:pPr>
                  <w:r>
                    <w:rPr>
                      <w:rFonts w:hint="eastAsia" w:ascii="Times New Roman" w:eastAsia="宋体"/>
                      <w:bCs/>
                      <w:color w:val="000000"/>
                      <w:sz w:val="21"/>
                    </w:rPr>
                    <w:t>10</w:t>
                  </w:r>
                </w:p>
              </w:tc>
              <w:tc>
                <w:tcPr>
                  <w:tcW w:w="1106" w:type="pct"/>
                  <w:vAlign w:val="center"/>
                </w:tcPr>
                <w:p w14:paraId="614C7DA9">
                  <w:pPr>
                    <w:adjustRightInd w:val="0"/>
                    <w:snapToGrid w:val="0"/>
                    <w:spacing w:line="240" w:lineRule="auto"/>
                    <w:ind w:firstLine="0" w:firstLineChars="0"/>
                    <w:jc w:val="center"/>
                    <w:rPr>
                      <w:color w:val="000000"/>
                      <w:sz w:val="21"/>
                      <w:szCs w:val="21"/>
                    </w:rPr>
                  </w:pPr>
                  <w:r>
                    <w:rPr>
                      <w:rFonts w:hint="eastAsia"/>
                      <w:color w:val="000000"/>
                      <w:sz w:val="21"/>
                      <w:szCs w:val="21"/>
                    </w:rPr>
                    <w:t>厂界外20m处上风向设参照点，下风向设监控点</w:t>
                  </w:r>
                </w:p>
              </w:tc>
              <w:tc>
                <w:tcPr>
                  <w:tcW w:w="950" w:type="pct"/>
                  <w:vAlign w:val="center"/>
                </w:tcPr>
                <w:p w14:paraId="3135BA46">
                  <w:pPr>
                    <w:adjustRightInd w:val="0"/>
                    <w:snapToGrid w:val="0"/>
                    <w:spacing w:line="240" w:lineRule="auto"/>
                    <w:ind w:firstLine="0" w:firstLineChars="0"/>
                    <w:jc w:val="center"/>
                    <w:rPr>
                      <w:color w:val="000000"/>
                      <w:sz w:val="21"/>
                      <w:szCs w:val="21"/>
                    </w:rPr>
                  </w:pPr>
                  <w:r>
                    <w:rPr>
                      <w:rFonts w:hint="eastAsia"/>
                      <w:color w:val="000000"/>
                      <w:sz w:val="21"/>
                      <w:szCs w:val="21"/>
                    </w:rPr>
                    <w:t>0.5</w:t>
                  </w:r>
                </w:p>
              </w:tc>
              <w:tc>
                <w:tcPr>
                  <w:tcW w:w="1354" w:type="pct"/>
                  <w:vAlign w:val="center"/>
                </w:tcPr>
                <w:p w14:paraId="7A9551A1">
                  <w:pPr>
                    <w:adjustRightInd w:val="0"/>
                    <w:snapToGrid w:val="0"/>
                    <w:spacing w:line="240" w:lineRule="auto"/>
                    <w:ind w:firstLine="0" w:firstLineChars="0"/>
                    <w:jc w:val="center"/>
                    <w:rPr>
                      <w:color w:val="000000"/>
                      <w:sz w:val="21"/>
                      <w:szCs w:val="21"/>
                    </w:rPr>
                  </w:pPr>
                  <w:r>
                    <w:rPr>
                      <w:rFonts w:hint="eastAsia"/>
                      <w:color w:val="000000"/>
                      <w:sz w:val="21"/>
                      <w:szCs w:val="21"/>
                    </w:rPr>
                    <w:t>监控点与参照点总悬浮颗粒物（TSP）1小时浓度值的差值</w:t>
                  </w:r>
                </w:p>
              </w:tc>
            </w:tr>
          </w:tbl>
          <w:p w14:paraId="7902BA7C">
            <w:pPr>
              <w:keepNext/>
              <w:keepLines/>
              <w:ind w:firstLine="0" w:firstLineChars="0"/>
              <w:jc w:val="left"/>
              <w:outlineLvl w:val="2"/>
              <w:rPr>
                <w:b/>
                <w:bCs/>
                <w:sz w:val="28"/>
                <w:szCs w:val="32"/>
              </w:rPr>
            </w:pPr>
          </w:p>
          <w:p w14:paraId="24E3B251">
            <w:pPr>
              <w:keepNext/>
              <w:keepLines/>
              <w:ind w:firstLine="0" w:firstLineChars="0"/>
              <w:jc w:val="left"/>
              <w:outlineLvl w:val="2"/>
              <w:rPr>
                <w:b/>
                <w:bCs/>
                <w:sz w:val="28"/>
                <w:szCs w:val="32"/>
              </w:rPr>
            </w:pPr>
          </w:p>
          <w:p w14:paraId="45EB748E">
            <w:pPr>
              <w:keepNext/>
              <w:keepLines/>
              <w:ind w:firstLine="0" w:firstLineChars="0"/>
              <w:jc w:val="left"/>
              <w:outlineLvl w:val="2"/>
              <w:rPr>
                <w:b/>
                <w:bCs/>
                <w:sz w:val="28"/>
                <w:szCs w:val="32"/>
              </w:rPr>
            </w:pPr>
            <w:r>
              <w:rPr>
                <w:b/>
                <w:bCs/>
                <w:sz w:val="28"/>
                <w:szCs w:val="32"/>
              </w:rPr>
              <w:t>3.7.3 厂界噪声</w:t>
            </w:r>
          </w:p>
          <w:p w14:paraId="5137DEFB">
            <w:pPr>
              <w:ind w:firstLine="480"/>
            </w:pPr>
            <w:r>
              <w:t>项目</w:t>
            </w:r>
            <w:r>
              <w:rPr>
                <w:rFonts w:hint="eastAsia"/>
              </w:rPr>
              <w:t>夜间不生产，</w:t>
            </w:r>
            <w:r>
              <w:t>运营期厂界噪声</w:t>
            </w:r>
            <w:r>
              <w:rPr>
                <w:rFonts w:hint="eastAsia"/>
              </w:rPr>
              <w:t>排放</w:t>
            </w:r>
            <w:r>
              <w:t>执行《工业企业厂界环境噪声排放标准》</w:t>
            </w:r>
            <w:r>
              <w:rPr>
                <w:rFonts w:hint="eastAsia"/>
              </w:rPr>
              <w:t>（</w:t>
            </w:r>
            <w:r>
              <w:t>GB12348-2008</w:t>
            </w:r>
            <w:r>
              <w:rPr>
                <w:rFonts w:hint="eastAsia"/>
              </w:rPr>
              <w:t>）表1</w:t>
            </w:r>
            <w:r>
              <w:t>中</w:t>
            </w:r>
            <w:r>
              <w:rPr>
                <w:rFonts w:hint="eastAsia"/>
              </w:rPr>
              <w:t>3</w:t>
            </w:r>
            <w:r>
              <w:t>类</w:t>
            </w:r>
            <w:r>
              <w:rPr>
                <w:rFonts w:hint="eastAsia"/>
              </w:rPr>
              <w:t>昼间</w:t>
            </w:r>
            <w:r>
              <w:t>标准限值，详见表3.7-</w:t>
            </w:r>
            <w:r>
              <w:rPr>
                <w:rFonts w:hint="eastAsia"/>
              </w:rPr>
              <w:t>3</w:t>
            </w:r>
            <w:r>
              <w:t>。</w:t>
            </w:r>
          </w:p>
          <w:p w14:paraId="7AF1B25C">
            <w:pPr>
              <w:spacing w:before="120" w:beforeLines="50" w:line="240" w:lineRule="auto"/>
              <w:ind w:firstLine="0" w:firstLineChars="0"/>
              <w:jc w:val="center"/>
              <w:rPr>
                <w:b/>
                <w:bCs/>
              </w:rPr>
            </w:pPr>
            <w:r>
              <w:rPr>
                <w:rFonts w:hint="eastAsia"/>
                <w:b/>
                <w:bCs/>
              </w:rPr>
              <w:t>表3.7-3 《工业企业厂界环境噪声排放标准》（GB12348-2008）（摘录）</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708"/>
              <w:gridCol w:w="1757"/>
              <w:gridCol w:w="1808"/>
            </w:tblGrid>
            <w:tr w14:paraId="6CB23B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94" w:hRule="atLeast"/>
                <w:jc w:val="center"/>
              </w:trPr>
              <w:tc>
                <w:tcPr>
                  <w:tcW w:w="2844" w:type="pct"/>
                  <w:tcBorders>
                    <w:tl2br w:val="single" w:color="auto" w:sz="2" w:space="0"/>
                  </w:tcBorders>
                  <w:vAlign w:val="center"/>
                </w:tcPr>
                <w:p w14:paraId="0D4F1568">
                  <w:pPr>
                    <w:spacing w:line="340" w:lineRule="exact"/>
                    <w:ind w:firstLine="0" w:firstLineChars="0"/>
                    <w:jc w:val="center"/>
                    <w:rPr>
                      <w:b/>
                      <w:bCs/>
                      <w:sz w:val="21"/>
                      <w:szCs w:val="21"/>
                      <w:lang w:bidi="ar"/>
                    </w:rPr>
                  </w:pPr>
                  <w:r>
                    <w:rPr>
                      <w:b/>
                      <w:bCs/>
                      <w:sz w:val="21"/>
                      <w:szCs w:val="21"/>
                      <w:lang w:bidi="ar"/>
                    </w:rPr>
                    <w:t xml:space="preserve">         </w:t>
                  </w:r>
                  <w:r>
                    <w:rPr>
                      <w:rFonts w:hint="eastAsia"/>
                      <w:b/>
                      <w:bCs/>
                      <w:sz w:val="21"/>
                      <w:szCs w:val="21"/>
                      <w:lang w:bidi="ar"/>
                    </w:rPr>
                    <w:t xml:space="preserve">               </w:t>
                  </w:r>
                  <w:r>
                    <w:rPr>
                      <w:b/>
                      <w:bCs/>
                      <w:sz w:val="21"/>
                      <w:szCs w:val="21"/>
                      <w:lang w:bidi="ar"/>
                    </w:rPr>
                    <w:t xml:space="preserve"> 时 段</w:t>
                  </w:r>
                </w:p>
                <w:p w14:paraId="23519F2F">
                  <w:pPr>
                    <w:spacing w:line="340" w:lineRule="exact"/>
                    <w:ind w:firstLine="0" w:firstLineChars="0"/>
                    <w:rPr>
                      <w:b/>
                      <w:bCs/>
                      <w:sz w:val="21"/>
                      <w:szCs w:val="21"/>
                      <w:lang w:bidi="ar"/>
                    </w:rPr>
                  </w:pPr>
                  <w:r>
                    <w:rPr>
                      <w:b/>
                      <w:bCs/>
                      <w:sz w:val="21"/>
                      <w:szCs w:val="21"/>
                      <w:lang w:bidi="ar"/>
                    </w:rPr>
                    <w:t>厂界外声环境功能区类别</w:t>
                  </w:r>
                </w:p>
              </w:tc>
              <w:tc>
                <w:tcPr>
                  <w:tcW w:w="1061" w:type="pct"/>
                  <w:tcBorders>
                    <w:right w:val="single" w:color="auto" w:sz="4" w:space="0"/>
                  </w:tcBorders>
                  <w:vAlign w:val="center"/>
                </w:tcPr>
                <w:p w14:paraId="3AB70104">
                  <w:pPr>
                    <w:spacing w:line="340" w:lineRule="exact"/>
                    <w:ind w:firstLine="0" w:firstLineChars="0"/>
                    <w:jc w:val="center"/>
                    <w:rPr>
                      <w:b/>
                      <w:bCs/>
                      <w:sz w:val="21"/>
                      <w:szCs w:val="21"/>
                      <w:lang w:bidi="ar"/>
                    </w:rPr>
                  </w:pPr>
                  <w:r>
                    <w:rPr>
                      <w:b/>
                      <w:bCs/>
                      <w:sz w:val="21"/>
                      <w:szCs w:val="21"/>
                      <w:lang w:bidi="ar"/>
                    </w:rPr>
                    <w:t>昼 间</w:t>
                  </w:r>
                </w:p>
              </w:tc>
              <w:tc>
                <w:tcPr>
                  <w:tcW w:w="1093" w:type="pct"/>
                  <w:vAlign w:val="center"/>
                </w:tcPr>
                <w:p w14:paraId="7D674180">
                  <w:pPr>
                    <w:spacing w:line="340" w:lineRule="exact"/>
                    <w:ind w:firstLine="0" w:firstLineChars="0"/>
                    <w:jc w:val="center"/>
                    <w:rPr>
                      <w:b/>
                      <w:bCs/>
                      <w:sz w:val="21"/>
                      <w:szCs w:val="21"/>
                      <w:lang w:bidi="ar"/>
                    </w:rPr>
                  </w:pPr>
                  <w:r>
                    <w:rPr>
                      <w:b/>
                      <w:bCs/>
                      <w:sz w:val="21"/>
                      <w:szCs w:val="21"/>
                      <w:lang w:bidi="ar"/>
                    </w:rPr>
                    <w:t>单 位</w:t>
                  </w:r>
                </w:p>
              </w:tc>
            </w:tr>
            <w:tr w14:paraId="05CBEB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2" w:hRule="atLeast"/>
                <w:jc w:val="center"/>
              </w:trPr>
              <w:tc>
                <w:tcPr>
                  <w:tcW w:w="2844" w:type="pct"/>
                  <w:vAlign w:val="center"/>
                </w:tcPr>
                <w:p w14:paraId="5EDAC730">
                  <w:pPr>
                    <w:spacing w:line="340" w:lineRule="exact"/>
                    <w:ind w:firstLine="0" w:firstLineChars="0"/>
                    <w:jc w:val="center"/>
                    <w:rPr>
                      <w:sz w:val="21"/>
                      <w:szCs w:val="21"/>
                      <w:lang w:bidi="ar"/>
                    </w:rPr>
                  </w:pPr>
                  <w:r>
                    <w:rPr>
                      <w:rFonts w:hint="eastAsia"/>
                      <w:sz w:val="21"/>
                      <w:szCs w:val="21"/>
                      <w:lang w:bidi="ar"/>
                    </w:rPr>
                    <w:t>3</w:t>
                  </w:r>
                  <w:r>
                    <w:rPr>
                      <w:sz w:val="21"/>
                      <w:szCs w:val="21"/>
                      <w:lang w:bidi="ar"/>
                    </w:rPr>
                    <w:t>类</w:t>
                  </w:r>
                </w:p>
              </w:tc>
              <w:tc>
                <w:tcPr>
                  <w:tcW w:w="1061" w:type="pct"/>
                  <w:tcBorders>
                    <w:right w:val="single" w:color="auto" w:sz="4" w:space="0"/>
                  </w:tcBorders>
                  <w:vAlign w:val="center"/>
                </w:tcPr>
                <w:p w14:paraId="44BEF3FE">
                  <w:pPr>
                    <w:spacing w:line="340" w:lineRule="exact"/>
                    <w:ind w:firstLine="0" w:firstLineChars="0"/>
                    <w:jc w:val="center"/>
                    <w:rPr>
                      <w:sz w:val="21"/>
                      <w:szCs w:val="21"/>
                      <w:lang w:bidi="ar"/>
                    </w:rPr>
                  </w:pPr>
                  <w:r>
                    <w:rPr>
                      <w:sz w:val="21"/>
                      <w:szCs w:val="21"/>
                      <w:lang w:bidi="ar"/>
                    </w:rPr>
                    <w:t>≤</w:t>
                  </w:r>
                  <w:r>
                    <w:rPr>
                      <w:rFonts w:hint="eastAsia"/>
                      <w:sz w:val="21"/>
                      <w:szCs w:val="21"/>
                      <w:lang w:bidi="ar"/>
                    </w:rPr>
                    <w:t>65</w:t>
                  </w:r>
                </w:p>
              </w:tc>
              <w:tc>
                <w:tcPr>
                  <w:tcW w:w="1093" w:type="pct"/>
                  <w:vAlign w:val="center"/>
                </w:tcPr>
                <w:p w14:paraId="5ADB55FC">
                  <w:pPr>
                    <w:spacing w:line="340" w:lineRule="exact"/>
                    <w:ind w:firstLine="0" w:firstLineChars="0"/>
                    <w:jc w:val="center"/>
                    <w:rPr>
                      <w:sz w:val="21"/>
                      <w:szCs w:val="21"/>
                      <w:lang w:bidi="ar"/>
                    </w:rPr>
                  </w:pPr>
                  <w:r>
                    <w:rPr>
                      <w:sz w:val="21"/>
                      <w:szCs w:val="21"/>
                      <w:lang w:bidi="ar"/>
                    </w:rPr>
                    <w:t>dB</w:t>
                  </w:r>
                  <w:r>
                    <w:rPr>
                      <w:rFonts w:hint="eastAsia"/>
                      <w:sz w:val="21"/>
                      <w:szCs w:val="21"/>
                      <w:lang w:bidi="ar"/>
                    </w:rPr>
                    <w:t>（</w:t>
                  </w:r>
                  <w:r>
                    <w:rPr>
                      <w:sz w:val="21"/>
                      <w:szCs w:val="21"/>
                      <w:lang w:bidi="ar"/>
                    </w:rPr>
                    <w:t>A</w:t>
                  </w:r>
                  <w:r>
                    <w:rPr>
                      <w:rFonts w:hint="eastAsia"/>
                      <w:sz w:val="21"/>
                      <w:szCs w:val="21"/>
                      <w:lang w:bidi="ar"/>
                    </w:rPr>
                    <w:t>）</w:t>
                  </w:r>
                </w:p>
              </w:tc>
            </w:tr>
          </w:tbl>
          <w:p w14:paraId="73CDBAB9">
            <w:pPr>
              <w:keepNext/>
              <w:keepLines/>
              <w:ind w:firstLine="0" w:firstLineChars="0"/>
              <w:jc w:val="left"/>
              <w:outlineLvl w:val="2"/>
              <w:rPr>
                <w:b/>
                <w:bCs/>
                <w:sz w:val="28"/>
                <w:szCs w:val="32"/>
              </w:rPr>
            </w:pPr>
            <w:r>
              <w:rPr>
                <w:b/>
                <w:bCs/>
                <w:sz w:val="28"/>
                <w:szCs w:val="32"/>
              </w:rPr>
              <w:t>3.7.4 固体废物</w:t>
            </w:r>
          </w:p>
          <w:p w14:paraId="2E31C467">
            <w:pPr>
              <w:ind w:firstLine="480"/>
            </w:pPr>
            <w:r>
              <w:t>生活垃圾处置执行《中华人民共和国固体废物污染环境防治法》</w:t>
            </w:r>
            <w:r>
              <w:rPr>
                <w:rFonts w:hint="eastAsia"/>
              </w:rPr>
              <w:t>（</w:t>
            </w:r>
            <w:r>
              <w:t>2020年修订版</w:t>
            </w:r>
            <w:r>
              <w:rPr>
                <w:rFonts w:hint="eastAsia"/>
              </w:rPr>
              <w:t>）</w:t>
            </w:r>
            <w:r>
              <w:t>的相关规定；本项目一般工业固体废物执行《一般工业固体废物贮存和填埋污染控制标准》（GB 18599-2020）。</w:t>
            </w:r>
          </w:p>
        </w:tc>
      </w:tr>
      <w:tr w14:paraId="25E3DC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6" w:type="dxa"/>
            <w:vAlign w:val="center"/>
          </w:tcPr>
          <w:p w14:paraId="219E480D">
            <w:pPr>
              <w:widowControl/>
              <w:adjustRightInd w:val="0"/>
              <w:snapToGrid w:val="0"/>
              <w:ind w:firstLine="0" w:firstLineChars="0"/>
              <w:jc w:val="center"/>
            </w:pPr>
            <w:r>
              <w:t>总量</w:t>
            </w:r>
          </w:p>
          <w:p w14:paraId="4EA96BAC">
            <w:pPr>
              <w:widowControl/>
              <w:adjustRightInd w:val="0"/>
              <w:snapToGrid w:val="0"/>
              <w:ind w:firstLine="0" w:firstLineChars="0"/>
              <w:jc w:val="center"/>
            </w:pPr>
            <w:r>
              <w:t>控制</w:t>
            </w:r>
          </w:p>
          <w:p w14:paraId="1D92463E">
            <w:pPr>
              <w:widowControl/>
              <w:adjustRightInd w:val="0"/>
              <w:snapToGrid w:val="0"/>
              <w:ind w:firstLine="0" w:firstLineChars="0"/>
              <w:jc w:val="center"/>
            </w:pPr>
            <w:r>
              <w:t>指标</w:t>
            </w:r>
          </w:p>
        </w:tc>
        <w:tc>
          <w:tcPr>
            <w:tcW w:w="8491" w:type="dxa"/>
          </w:tcPr>
          <w:p w14:paraId="4BE3DA0C">
            <w:pPr>
              <w:keepNext/>
              <w:keepLines/>
              <w:ind w:firstLine="0" w:firstLineChars="0"/>
              <w:jc w:val="left"/>
              <w:outlineLvl w:val="1"/>
              <w:rPr>
                <w:b/>
                <w:bCs/>
                <w:sz w:val="30"/>
                <w:szCs w:val="32"/>
              </w:rPr>
            </w:pPr>
            <w:r>
              <w:rPr>
                <w:b/>
                <w:bCs/>
                <w:sz w:val="30"/>
                <w:szCs w:val="32"/>
              </w:rPr>
              <w:t>3.8 总量控制指标确认</w:t>
            </w:r>
          </w:p>
          <w:p w14:paraId="23DEB076">
            <w:pPr>
              <w:widowControl/>
              <w:ind w:firstLine="480"/>
              <w:jc w:val="left"/>
              <w:rPr>
                <w:kern w:val="0"/>
                <w:lang w:bidi="ar"/>
              </w:rPr>
            </w:pPr>
            <w:r>
              <w:rPr>
                <w:rFonts w:hint="eastAsia" w:ascii="宋体" w:hAnsi="宋体" w:cs="宋体"/>
                <w:kern w:val="0"/>
                <w:lang w:bidi="ar"/>
              </w:rPr>
              <w:t>根据国家“十三五”期间污染物总量控制要求、《福建省“十四五”生态环境保护规划》（闽政办〔</w:t>
            </w:r>
            <w:r>
              <w:rPr>
                <w:kern w:val="0"/>
                <w:lang w:bidi="ar"/>
              </w:rPr>
              <w:t>2021</w:t>
            </w:r>
            <w:r>
              <w:rPr>
                <w:rFonts w:hint="eastAsia" w:ascii="宋体" w:hAnsi="宋体" w:cs="宋体"/>
                <w:kern w:val="0"/>
                <w:lang w:bidi="ar"/>
              </w:rPr>
              <w:t>〕</w:t>
            </w:r>
            <w:r>
              <w:rPr>
                <w:kern w:val="0"/>
                <w:lang w:bidi="ar"/>
              </w:rPr>
              <w:t>59</w:t>
            </w:r>
            <w:r>
              <w:rPr>
                <w:rFonts w:hint="eastAsia" w:ascii="宋体" w:hAnsi="宋体" w:cs="宋体"/>
                <w:kern w:val="0"/>
                <w:lang w:bidi="ar"/>
              </w:rPr>
              <w:t>号）、《福建省人民政府关于印发福建省“十四五”节能减排综合性工作方案的通知》（闽政</w:t>
            </w:r>
            <w:r>
              <w:rPr>
                <w:kern w:val="0"/>
                <w:lang w:bidi="ar"/>
              </w:rPr>
              <w:t>〔2022〕17</w:t>
            </w:r>
            <w:r>
              <w:rPr>
                <w:rFonts w:hint="eastAsia" w:ascii="宋体" w:hAnsi="宋体" w:cs="宋体"/>
                <w:kern w:val="0"/>
                <w:lang w:bidi="ar"/>
              </w:rPr>
              <w:t>号）、《福建省环保厅关于环评审批中落实排污权交易工作要求的通知》（闽环保评</w:t>
            </w:r>
            <w:r>
              <w:rPr>
                <w:kern w:val="0"/>
                <w:lang w:bidi="ar"/>
              </w:rPr>
              <w:t>〔20</w:t>
            </w:r>
            <w:r>
              <w:rPr>
                <w:rFonts w:hint="eastAsia"/>
                <w:kern w:val="0"/>
                <w:lang w:bidi="ar"/>
              </w:rPr>
              <w:t>14</w:t>
            </w:r>
            <w:r>
              <w:rPr>
                <w:kern w:val="0"/>
                <w:lang w:bidi="ar"/>
              </w:rPr>
              <w:t>〕43</w:t>
            </w:r>
            <w:r>
              <w:rPr>
                <w:rFonts w:hint="eastAsia" w:ascii="宋体" w:hAnsi="宋体" w:cs="宋体"/>
                <w:kern w:val="0"/>
                <w:lang w:bidi="ar"/>
              </w:rPr>
              <w:t>号）等有关</w:t>
            </w:r>
            <w:r>
              <w:rPr>
                <w:kern w:val="0"/>
                <w:lang w:bidi="ar"/>
              </w:rPr>
              <w:t>主要污染物排放总量控制计划的要求，现阶段福建省主要污染物排放总量指标为COD、NH</w:t>
            </w:r>
            <w:r>
              <w:rPr>
                <w:rFonts w:hint="eastAsia"/>
                <w:kern w:val="0"/>
                <w:vertAlign w:val="subscript"/>
                <w:lang w:bidi="ar"/>
              </w:rPr>
              <w:t>3</w:t>
            </w:r>
            <w:r>
              <w:rPr>
                <w:rFonts w:hint="eastAsia"/>
                <w:kern w:val="0"/>
                <w:lang w:bidi="ar"/>
              </w:rPr>
              <w:t>-</w:t>
            </w:r>
            <w:r>
              <w:rPr>
                <w:kern w:val="0"/>
                <w:lang w:bidi="ar"/>
              </w:rPr>
              <w:t>N、SO</w:t>
            </w:r>
            <w:r>
              <w:rPr>
                <w:rFonts w:hint="eastAsia"/>
                <w:kern w:val="0"/>
                <w:vertAlign w:val="subscript"/>
                <w:lang w:bidi="ar"/>
              </w:rPr>
              <w:t>2</w:t>
            </w:r>
            <w:r>
              <w:rPr>
                <w:kern w:val="0"/>
                <w:lang w:bidi="ar"/>
              </w:rPr>
              <w:t>、NOx</w:t>
            </w:r>
            <w:r>
              <w:rPr>
                <w:rFonts w:hint="eastAsia"/>
                <w:color w:val="000000"/>
              </w:rPr>
              <w:t>、VOC</w:t>
            </w:r>
            <w:r>
              <w:rPr>
                <w:rFonts w:hint="eastAsia"/>
                <w:color w:val="000000"/>
                <w:vertAlign w:val="subscript"/>
              </w:rPr>
              <w:t>S</w:t>
            </w:r>
            <w:r>
              <w:rPr>
                <w:kern w:val="0"/>
                <w:lang w:bidi="ar"/>
              </w:rPr>
              <w:t>。</w:t>
            </w:r>
          </w:p>
          <w:p w14:paraId="71F6E5E0">
            <w:pPr>
              <w:keepNext/>
              <w:keepLines/>
              <w:ind w:firstLine="0" w:firstLineChars="0"/>
              <w:jc w:val="left"/>
              <w:outlineLvl w:val="2"/>
              <w:rPr>
                <w:b/>
                <w:bCs/>
                <w:sz w:val="28"/>
                <w:szCs w:val="32"/>
              </w:rPr>
            </w:pPr>
            <w:r>
              <w:rPr>
                <w:b/>
                <w:bCs/>
                <w:sz w:val="28"/>
                <w:szCs w:val="32"/>
              </w:rPr>
              <w:t>3.8.</w:t>
            </w:r>
            <w:r>
              <w:rPr>
                <w:rFonts w:hint="eastAsia"/>
                <w:b/>
                <w:bCs/>
                <w:sz w:val="28"/>
                <w:szCs w:val="32"/>
              </w:rPr>
              <w:t>1</w:t>
            </w:r>
            <w:r>
              <w:rPr>
                <w:b/>
                <w:bCs/>
                <w:sz w:val="28"/>
                <w:szCs w:val="32"/>
              </w:rPr>
              <w:t xml:space="preserve"> 废水主要污染物排放总量</w:t>
            </w:r>
          </w:p>
          <w:p w14:paraId="69DC6DAA">
            <w:pPr>
              <w:ind w:firstLine="480"/>
            </w:pPr>
            <w:r>
              <w:rPr>
                <w:rFonts w:hint="eastAsia"/>
              </w:rPr>
              <w:t>本</w:t>
            </w:r>
            <w:r>
              <w:t>项目无生产废水的排放，根据《福建省环保厅关于进一步明确排污权工作有关问题的通知》</w:t>
            </w:r>
            <w:r>
              <w:rPr>
                <w:rFonts w:hint="eastAsia"/>
              </w:rPr>
              <w:t>（</w:t>
            </w:r>
            <w:r>
              <w:t>闽环保财</w:t>
            </w:r>
            <w:r>
              <w:rPr>
                <w:kern w:val="0"/>
                <w:lang w:bidi="ar"/>
              </w:rPr>
              <w:t>〔20</w:t>
            </w:r>
            <w:r>
              <w:rPr>
                <w:rFonts w:hint="eastAsia"/>
                <w:kern w:val="0"/>
                <w:lang w:bidi="ar"/>
              </w:rPr>
              <w:t>17</w:t>
            </w:r>
            <w:r>
              <w:rPr>
                <w:kern w:val="0"/>
                <w:lang w:bidi="ar"/>
              </w:rPr>
              <w:t>〕</w:t>
            </w:r>
            <w:r>
              <w:t>22号</w:t>
            </w:r>
            <w:r>
              <w:rPr>
                <w:rFonts w:hint="eastAsia"/>
              </w:rPr>
              <w:t>）</w:t>
            </w:r>
            <w:r>
              <w:t>，现有工业排污单位的水污染物的初始排污权只核定工业废水部分</w:t>
            </w:r>
            <w:r>
              <w:rPr>
                <w:rFonts w:hint="eastAsia"/>
              </w:rPr>
              <w:t>，职工生活污水经化粪池处理后通过市政污水管网排入闽侯县城关污水处理厂。</w:t>
            </w:r>
            <w:r>
              <w:t>因此，无需申请总量控制指标。</w:t>
            </w:r>
          </w:p>
          <w:p w14:paraId="4332CA39">
            <w:pPr>
              <w:keepNext/>
              <w:keepLines/>
              <w:ind w:firstLine="0" w:firstLineChars="0"/>
              <w:jc w:val="left"/>
              <w:outlineLvl w:val="2"/>
              <w:rPr>
                <w:b/>
                <w:bCs/>
                <w:sz w:val="28"/>
                <w:szCs w:val="32"/>
              </w:rPr>
            </w:pPr>
            <w:r>
              <w:rPr>
                <w:b/>
                <w:bCs/>
                <w:sz w:val="28"/>
                <w:szCs w:val="32"/>
              </w:rPr>
              <w:t>3.8</w:t>
            </w:r>
            <w:r>
              <w:rPr>
                <w:rFonts w:hint="eastAsia"/>
                <w:b/>
                <w:bCs/>
                <w:sz w:val="28"/>
                <w:szCs w:val="32"/>
              </w:rPr>
              <w:t>.2</w:t>
            </w:r>
            <w:r>
              <w:rPr>
                <w:b/>
                <w:bCs/>
                <w:sz w:val="28"/>
                <w:szCs w:val="32"/>
              </w:rPr>
              <w:t xml:space="preserve"> 废气主要污染物排放总量</w:t>
            </w:r>
          </w:p>
          <w:p w14:paraId="4A3AB018">
            <w:pPr>
              <w:pStyle w:val="139"/>
              <w:rPr>
                <w:color w:val="auto"/>
              </w:rPr>
            </w:pPr>
            <w:r>
              <w:rPr>
                <w:rFonts w:hint="eastAsia"/>
                <w:color w:val="auto"/>
              </w:rPr>
              <w:t>本项目废气污染物主要颗粒物，</w:t>
            </w:r>
            <w:r>
              <w:rPr>
                <w:color w:val="auto"/>
              </w:rPr>
              <w:t>不涉及燃料等使用，不涉及SO</w:t>
            </w:r>
            <w:r>
              <w:rPr>
                <w:color w:val="auto"/>
                <w:vertAlign w:val="subscript"/>
              </w:rPr>
              <w:t>2</w:t>
            </w:r>
            <w:r>
              <w:rPr>
                <w:color w:val="auto"/>
              </w:rPr>
              <w:t>、NO</w:t>
            </w:r>
            <w:r>
              <w:rPr>
                <w:rFonts w:hint="eastAsia"/>
                <w:color w:val="auto"/>
                <w:vertAlign w:val="subscript"/>
              </w:rPr>
              <w:t>X</w:t>
            </w:r>
            <w:r>
              <w:rPr>
                <w:color w:val="auto"/>
              </w:rPr>
              <w:t>污染物排放</w:t>
            </w:r>
            <w:r>
              <w:rPr>
                <w:rFonts w:hint="eastAsia"/>
                <w:color w:val="auto"/>
              </w:rPr>
              <w:t>，项目大气污染物控制指标情况见表3.8-1。</w:t>
            </w:r>
          </w:p>
          <w:p w14:paraId="779C0FD3">
            <w:pPr>
              <w:spacing w:line="240" w:lineRule="auto"/>
              <w:ind w:firstLine="482"/>
              <w:jc w:val="center"/>
              <w:rPr>
                <w:rFonts w:cs="宋体"/>
                <w:b/>
                <w:bCs/>
                <w:snapToGrid w:val="0"/>
                <w:color w:val="FF0000"/>
              </w:rPr>
            </w:pPr>
            <w:r>
              <w:rPr>
                <w:rFonts w:hint="eastAsia" w:cs="宋体"/>
                <w:b/>
                <w:bCs/>
                <w:snapToGrid w:val="0"/>
              </w:rPr>
              <w:t>表3.8-1  项目大气污染物控制指标一览表</w:t>
            </w:r>
          </w:p>
          <w:tbl>
            <w:tblPr>
              <w:tblStyle w:val="30"/>
              <w:tblW w:w="8164"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534"/>
              <w:gridCol w:w="900"/>
              <w:gridCol w:w="1145"/>
              <w:gridCol w:w="1055"/>
              <w:gridCol w:w="1407"/>
              <w:gridCol w:w="1095"/>
              <w:gridCol w:w="1028"/>
            </w:tblGrid>
            <w:tr w14:paraId="3BEA55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1534" w:type="dxa"/>
                  <w:vAlign w:val="center"/>
                </w:tcPr>
                <w:p w14:paraId="13FABA5F">
                  <w:pPr>
                    <w:spacing w:line="340" w:lineRule="exact"/>
                    <w:ind w:firstLine="0" w:firstLineChars="0"/>
                    <w:jc w:val="center"/>
                    <w:rPr>
                      <w:b/>
                      <w:bCs/>
                      <w:sz w:val="21"/>
                      <w:szCs w:val="21"/>
                      <w:lang w:bidi="ar"/>
                    </w:rPr>
                  </w:pPr>
                  <w:r>
                    <w:rPr>
                      <w:b/>
                      <w:bCs/>
                      <w:sz w:val="21"/>
                      <w:szCs w:val="21"/>
                      <w:lang w:bidi="ar"/>
                    </w:rPr>
                    <w:t>污染源</w:t>
                  </w:r>
                </w:p>
              </w:tc>
              <w:tc>
                <w:tcPr>
                  <w:tcW w:w="900" w:type="dxa"/>
                  <w:vAlign w:val="center"/>
                </w:tcPr>
                <w:p w14:paraId="3FF339D3">
                  <w:pPr>
                    <w:spacing w:line="340" w:lineRule="exact"/>
                    <w:ind w:firstLine="0" w:firstLineChars="0"/>
                    <w:jc w:val="center"/>
                    <w:rPr>
                      <w:b/>
                      <w:bCs/>
                      <w:sz w:val="21"/>
                      <w:szCs w:val="21"/>
                      <w:lang w:bidi="ar"/>
                    </w:rPr>
                  </w:pPr>
                  <w:r>
                    <w:rPr>
                      <w:b/>
                      <w:bCs/>
                      <w:sz w:val="21"/>
                      <w:szCs w:val="21"/>
                      <w:lang w:bidi="ar"/>
                    </w:rPr>
                    <w:t>污染物</w:t>
                  </w:r>
                </w:p>
              </w:tc>
              <w:tc>
                <w:tcPr>
                  <w:tcW w:w="1145" w:type="dxa"/>
                  <w:tcBorders>
                    <w:right w:val="single" w:color="auto" w:sz="4" w:space="0"/>
                  </w:tcBorders>
                  <w:vAlign w:val="center"/>
                </w:tcPr>
                <w:p w14:paraId="40DBCCFA">
                  <w:pPr>
                    <w:spacing w:line="340" w:lineRule="exact"/>
                    <w:ind w:firstLine="0" w:firstLineChars="0"/>
                    <w:jc w:val="center"/>
                    <w:rPr>
                      <w:b/>
                      <w:bCs/>
                      <w:sz w:val="21"/>
                      <w:szCs w:val="21"/>
                      <w:lang w:bidi="ar"/>
                    </w:rPr>
                  </w:pPr>
                  <w:r>
                    <w:rPr>
                      <w:b/>
                      <w:bCs/>
                      <w:sz w:val="21"/>
                      <w:szCs w:val="21"/>
                      <w:lang w:bidi="ar"/>
                    </w:rPr>
                    <w:t>废气量</w:t>
                  </w:r>
                </w:p>
              </w:tc>
              <w:tc>
                <w:tcPr>
                  <w:tcW w:w="1055" w:type="dxa"/>
                  <w:tcBorders>
                    <w:left w:val="single" w:color="auto" w:sz="4" w:space="0"/>
                  </w:tcBorders>
                  <w:vAlign w:val="center"/>
                </w:tcPr>
                <w:p w14:paraId="44CD70B2">
                  <w:pPr>
                    <w:spacing w:line="340" w:lineRule="exact"/>
                    <w:ind w:firstLine="0" w:firstLineChars="0"/>
                    <w:jc w:val="center"/>
                    <w:rPr>
                      <w:b/>
                      <w:bCs/>
                      <w:sz w:val="21"/>
                      <w:szCs w:val="21"/>
                      <w:lang w:bidi="ar"/>
                    </w:rPr>
                  </w:pPr>
                  <w:r>
                    <w:rPr>
                      <w:b/>
                      <w:bCs/>
                      <w:sz w:val="21"/>
                      <w:szCs w:val="21"/>
                      <w:lang w:bidi="ar"/>
                    </w:rPr>
                    <w:t>允许排</w:t>
                  </w:r>
                </w:p>
                <w:p w14:paraId="52E14C75">
                  <w:pPr>
                    <w:spacing w:line="340" w:lineRule="exact"/>
                    <w:ind w:firstLine="0" w:firstLineChars="0"/>
                    <w:jc w:val="center"/>
                    <w:rPr>
                      <w:b/>
                      <w:bCs/>
                      <w:sz w:val="21"/>
                      <w:szCs w:val="21"/>
                      <w:lang w:bidi="ar"/>
                    </w:rPr>
                  </w:pPr>
                  <w:r>
                    <w:rPr>
                      <w:b/>
                      <w:bCs/>
                      <w:sz w:val="21"/>
                      <w:szCs w:val="21"/>
                      <w:lang w:bidi="ar"/>
                    </w:rPr>
                    <w:t>放浓度</w:t>
                  </w:r>
                </w:p>
              </w:tc>
              <w:tc>
                <w:tcPr>
                  <w:tcW w:w="1407" w:type="dxa"/>
                  <w:vAlign w:val="center"/>
                </w:tcPr>
                <w:p w14:paraId="5F797CCB">
                  <w:pPr>
                    <w:spacing w:line="340" w:lineRule="exact"/>
                    <w:ind w:firstLine="0" w:firstLineChars="0"/>
                    <w:jc w:val="center"/>
                    <w:rPr>
                      <w:b/>
                      <w:bCs/>
                      <w:sz w:val="21"/>
                      <w:szCs w:val="21"/>
                      <w:lang w:bidi="ar"/>
                    </w:rPr>
                  </w:pPr>
                  <w:r>
                    <w:rPr>
                      <w:b/>
                      <w:bCs/>
                      <w:sz w:val="21"/>
                      <w:szCs w:val="21"/>
                      <w:lang w:bidi="ar"/>
                    </w:rPr>
                    <w:t>预测排</w:t>
                  </w:r>
                </w:p>
                <w:p w14:paraId="64F4A932">
                  <w:pPr>
                    <w:spacing w:line="340" w:lineRule="exact"/>
                    <w:ind w:firstLine="0" w:firstLineChars="0"/>
                    <w:jc w:val="center"/>
                    <w:rPr>
                      <w:b/>
                      <w:bCs/>
                      <w:sz w:val="21"/>
                      <w:szCs w:val="21"/>
                      <w:lang w:bidi="ar"/>
                    </w:rPr>
                  </w:pPr>
                  <w:r>
                    <w:rPr>
                      <w:b/>
                      <w:bCs/>
                      <w:sz w:val="21"/>
                      <w:szCs w:val="21"/>
                      <w:lang w:bidi="ar"/>
                    </w:rPr>
                    <w:t>放浓度</w:t>
                  </w:r>
                </w:p>
              </w:tc>
              <w:tc>
                <w:tcPr>
                  <w:tcW w:w="1095" w:type="dxa"/>
                  <w:vAlign w:val="center"/>
                </w:tcPr>
                <w:p w14:paraId="1F29257C">
                  <w:pPr>
                    <w:spacing w:line="340" w:lineRule="exact"/>
                    <w:ind w:firstLine="0" w:firstLineChars="0"/>
                    <w:jc w:val="center"/>
                    <w:rPr>
                      <w:b/>
                      <w:bCs/>
                      <w:sz w:val="21"/>
                      <w:szCs w:val="21"/>
                      <w:lang w:bidi="ar"/>
                    </w:rPr>
                  </w:pPr>
                  <w:r>
                    <w:rPr>
                      <w:b/>
                      <w:bCs/>
                      <w:sz w:val="21"/>
                      <w:szCs w:val="21"/>
                      <w:lang w:bidi="ar"/>
                    </w:rPr>
                    <w:t>预测排</w:t>
                  </w:r>
                </w:p>
                <w:p w14:paraId="3D6C899D">
                  <w:pPr>
                    <w:spacing w:line="340" w:lineRule="exact"/>
                    <w:ind w:firstLine="0" w:firstLineChars="0"/>
                    <w:jc w:val="center"/>
                    <w:rPr>
                      <w:b/>
                      <w:bCs/>
                      <w:sz w:val="21"/>
                      <w:szCs w:val="21"/>
                      <w:lang w:bidi="ar"/>
                    </w:rPr>
                  </w:pPr>
                  <w:r>
                    <w:rPr>
                      <w:b/>
                      <w:bCs/>
                      <w:sz w:val="21"/>
                      <w:szCs w:val="21"/>
                      <w:lang w:bidi="ar"/>
                    </w:rPr>
                    <w:t>放量</w:t>
                  </w:r>
                </w:p>
              </w:tc>
              <w:tc>
                <w:tcPr>
                  <w:tcW w:w="1028" w:type="dxa"/>
                  <w:vAlign w:val="center"/>
                </w:tcPr>
                <w:p w14:paraId="7C634CAE">
                  <w:pPr>
                    <w:spacing w:line="340" w:lineRule="exact"/>
                    <w:ind w:firstLine="0" w:firstLineChars="0"/>
                    <w:jc w:val="center"/>
                    <w:rPr>
                      <w:b/>
                      <w:bCs/>
                      <w:sz w:val="21"/>
                      <w:szCs w:val="21"/>
                      <w:lang w:bidi="ar"/>
                    </w:rPr>
                  </w:pPr>
                  <w:r>
                    <w:rPr>
                      <w:b/>
                      <w:bCs/>
                      <w:sz w:val="21"/>
                      <w:szCs w:val="21"/>
                      <w:lang w:bidi="ar"/>
                    </w:rPr>
                    <w:t>总量核</w:t>
                  </w:r>
                </w:p>
                <w:p w14:paraId="7E19225D">
                  <w:pPr>
                    <w:spacing w:line="340" w:lineRule="exact"/>
                    <w:ind w:firstLine="0" w:firstLineChars="0"/>
                    <w:jc w:val="center"/>
                    <w:rPr>
                      <w:b/>
                      <w:bCs/>
                      <w:sz w:val="21"/>
                      <w:szCs w:val="21"/>
                      <w:lang w:bidi="ar"/>
                    </w:rPr>
                  </w:pPr>
                  <w:r>
                    <w:rPr>
                      <w:b/>
                      <w:bCs/>
                      <w:sz w:val="21"/>
                      <w:szCs w:val="21"/>
                      <w:lang w:bidi="ar"/>
                    </w:rPr>
                    <w:t>算指标</w:t>
                  </w:r>
                </w:p>
              </w:tc>
            </w:tr>
            <w:tr w14:paraId="7DDF39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1534" w:type="dxa"/>
                  <w:vAlign w:val="center"/>
                </w:tcPr>
                <w:p w14:paraId="39CBDD26">
                  <w:pPr>
                    <w:spacing w:line="340" w:lineRule="exact"/>
                    <w:ind w:firstLine="0" w:firstLineChars="0"/>
                    <w:jc w:val="center"/>
                    <w:rPr>
                      <w:sz w:val="21"/>
                      <w:szCs w:val="21"/>
                      <w:lang w:bidi="ar"/>
                    </w:rPr>
                  </w:pPr>
                  <w:r>
                    <w:rPr>
                      <w:sz w:val="21"/>
                      <w:szCs w:val="21"/>
                      <w:lang w:bidi="ar"/>
                    </w:rPr>
                    <w:t>DA001</w:t>
                  </w:r>
                  <w:r>
                    <w:rPr>
                      <w:rFonts w:hint="eastAsia"/>
                      <w:sz w:val="21"/>
                      <w:szCs w:val="21"/>
                      <w:lang w:bidi="ar"/>
                    </w:rPr>
                    <w:t>排气筒</w:t>
                  </w:r>
                </w:p>
              </w:tc>
              <w:tc>
                <w:tcPr>
                  <w:tcW w:w="900" w:type="dxa"/>
                  <w:vMerge w:val="restart"/>
                  <w:vAlign w:val="center"/>
                </w:tcPr>
                <w:p w14:paraId="491981F3">
                  <w:pPr>
                    <w:spacing w:line="340" w:lineRule="exact"/>
                    <w:ind w:firstLine="0" w:firstLineChars="0"/>
                    <w:jc w:val="center"/>
                    <w:rPr>
                      <w:sz w:val="21"/>
                      <w:szCs w:val="21"/>
                      <w:lang w:bidi="ar"/>
                    </w:rPr>
                  </w:pPr>
                  <w:r>
                    <w:rPr>
                      <w:rFonts w:hint="eastAsia"/>
                      <w:sz w:val="21"/>
                      <w:szCs w:val="21"/>
                      <w:lang w:bidi="ar"/>
                    </w:rPr>
                    <w:t>颗粒物</w:t>
                  </w:r>
                </w:p>
              </w:tc>
              <w:tc>
                <w:tcPr>
                  <w:tcW w:w="1145" w:type="dxa"/>
                  <w:tcBorders>
                    <w:right w:val="single" w:color="auto" w:sz="4" w:space="0"/>
                  </w:tcBorders>
                  <w:vAlign w:val="center"/>
                </w:tcPr>
                <w:p w14:paraId="5B0B1A23">
                  <w:pPr>
                    <w:spacing w:line="340" w:lineRule="exact"/>
                    <w:ind w:firstLine="0" w:firstLineChars="0"/>
                    <w:jc w:val="center"/>
                    <w:rPr>
                      <w:sz w:val="21"/>
                      <w:szCs w:val="21"/>
                      <w:lang w:bidi="ar"/>
                    </w:rPr>
                  </w:pPr>
                  <w:r>
                    <w:rPr>
                      <w:rFonts w:hint="eastAsia"/>
                      <w:sz w:val="21"/>
                      <w:szCs w:val="21"/>
                      <w:lang w:bidi="ar"/>
                    </w:rPr>
                    <w:t>10000m</w:t>
                  </w:r>
                  <w:r>
                    <w:rPr>
                      <w:rFonts w:hint="eastAsia"/>
                      <w:sz w:val="21"/>
                      <w:szCs w:val="21"/>
                      <w:vertAlign w:val="superscript"/>
                      <w:lang w:bidi="ar"/>
                    </w:rPr>
                    <w:t>3</w:t>
                  </w:r>
                  <w:r>
                    <w:rPr>
                      <w:rFonts w:hint="eastAsia"/>
                      <w:sz w:val="21"/>
                      <w:szCs w:val="21"/>
                      <w:lang w:bidi="ar"/>
                    </w:rPr>
                    <w:t>/h</w:t>
                  </w:r>
                </w:p>
              </w:tc>
              <w:tc>
                <w:tcPr>
                  <w:tcW w:w="1055" w:type="dxa"/>
                  <w:tcBorders>
                    <w:left w:val="single" w:color="auto" w:sz="4" w:space="0"/>
                  </w:tcBorders>
                  <w:vAlign w:val="center"/>
                </w:tcPr>
                <w:p w14:paraId="4341C487">
                  <w:pPr>
                    <w:spacing w:line="340" w:lineRule="exact"/>
                    <w:ind w:firstLine="0" w:firstLineChars="0"/>
                    <w:jc w:val="center"/>
                    <w:rPr>
                      <w:sz w:val="21"/>
                      <w:szCs w:val="21"/>
                      <w:lang w:bidi="ar"/>
                    </w:rPr>
                  </w:pPr>
                  <w:r>
                    <w:rPr>
                      <w:rFonts w:hint="eastAsia"/>
                      <w:sz w:val="21"/>
                      <w:szCs w:val="21"/>
                      <w:lang w:bidi="ar"/>
                    </w:rPr>
                    <w:t>10mg/m</w:t>
                  </w:r>
                  <w:r>
                    <w:rPr>
                      <w:rFonts w:hint="eastAsia"/>
                      <w:sz w:val="21"/>
                      <w:szCs w:val="21"/>
                      <w:vertAlign w:val="superscript"/>
                      <w:lang w:bidi="ar"/>
                    </w:rPr>
                    <w:t>3</w:t>
                  </w:r>
                </w:p>
              </w:tc>
              <w:tc>
                <w:tcPr>
                  <w:tcW w:w="1407" w:type="dxa"/>
                  <w:vAlign w:val="center"/>
                </w:tcPr>
                <w:p w14:paraId="57EDE524">
                  <w:pPr>
                    <w:spacing w:line="340" w:lineRule="exact"/>
                    <w:ind w:firstLine="0" w:firstLineChars="0"/>
                    <w:jc w:val="center"/>
                    <w:rPr>
                      <w:sz w:val="21"/>
                      <w:szCs w:val="21"/>
                      <w:lang w:bidi="ar"/>
                    </w:rPr>
                  </w:pPr>
                  <w:r>
                    <w:rPr>
                      <w:rFonts w:hint="eastAsia"/>
                      <w:sz w:val="21"/>
                      <w:szCs w:val="21"/>
                      <w:lang w:val="en-US" w:eastAsia="zh-CN" w:bidi="ar"/>
                    </w:rPr>
                    <w:t>3</w:t>
                  </w:r>
                  <w:r>
                    <w:rPr>
                      <w:rFonts w:hint="eastAsia"/>
                      <w:sz w:val="21"/>
                      <w:szCs w:val="21"/>
                      <w:lang w:bidi="ar"/>
                    </w:rPr>
                    <w:t>.9mg/m</w:t>
                  </w:r>
                  <w:r>
                    <w:rPr>
                      <w:rFonts w:hint="eastAsia"/>
                      <w:sz w:val="21"/>
                      <w:szCs w:val="21"/>
                      <w:vertAlign w:val="superscript"/>
                      <w:lang w:bidi="ar"/>
                    </w:rPr>
                    <w:t>3</w:t>
                  </w:r>
                </w:p>
              </w:tc>
              <w:tc>
                <w:tcPr>
                  <w:tcW w:w="1095" w:type="dxa"/>
                  <w:vAlign w:val="center"/>
                </w:tcPr>
                <w:p w14:paraId="21022EFE">
                  <w:pPr>
                    <w:pStyle w:val="109"/>
                    <w:widowControl/>
                    <w:ind w:firstLine="0" w:firstLineChars="0"/>
                    <w:jc w:val="center"/>
                    <w:rPr>
                      <w:rFonts w:eastAsia="宋体"/>
                      <w:sz w:val="21"/>
                      <w:szCs w:val="21"/>
                      <w:lang w:bidi="ar"/>
                    </w:rPr>
                  </w:pPr>
                  <w:r>
                    <w:rPr>
                      <w:rFonts w:hint="default" w:ascii="Times New Roman" w:hAnsi="Times New Roman" w:eastAsia="宋体" w:cs="Times New Roman"/>
                      <w:sz w:val="21"/>
                      <w:szCs w:val="21"/>
                      <w:lang w:val="en-US" w:eastAsia="zh-CN" w:bidi="ar"/>
                    </w:rPr>
                    <w:t>0.0949</w:t>
                  </w:r>
                  <w:r>
                    <w:rPr>
                      <w:rFonts w:hint="eastAsia" w:ascii="Times New Roman" w:hAnsi="Times New Roman" w:eastAsia="宋体"/>
                      <w:sz w:val="21"/>
                      <w:szCs w:val="21"/>
                    </w:rPr>
                    <w:t>t/a</w:t>
                  </w:r>
                </w:p>
              </w:tc>
              <w:tc>
                <w:tcPr>
                  <w:tcW w:w="1028" w:type="dxa"/>
                  <w:vMerge w:val="restart"/>
                  <w:vAlign w:val="center"/>
                </w:tcPr>
                <w:p w14:paraId="3CFAADB0">
                  <w:pPr>
                    <w:spacing w:line="340" w:lineRule="exact"/>
                    <w:ind w:firstLine="0" w:firstLineChars="0"/>
                    <w:jc w:val="center"/>
                    <w:rPr>
                      <w:sz w:val="21"/>
                      <w:szCs w:val="21"/>
                      <w:lang w:bidi="ar"/>
                    </w:rPr>
                  </w:pPr>
                  <w:r>
                    <w:rPr>
                      <w:rFonts w:hint="eastAsia"/>
                      <w:sz w:val="21"/>
                      <w:szCs w:val="21"/>
                    </w:rPr>
                    <w:t>0.3149t/a</w:t>
                  </w:r>
                </w:p>
              </w:tc>
            </w:tr>
            <w:tr w14:paraId="1EC228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1534" w:type="dxa"/>
                  <w:vAlign w:val="center"/>
                </w:tcPr>
                <w:p w14:paraId="2F358B83">
                  <w:pPr>
                    <w:spacing w:line="340" w:lineRule="exact"/>
                    <w:ind w:firstLine="0" w:firstLineChars="0"/>
                    <w:jc w:val="center"/>
                    <w:rPr>
                      <w:sz w:val="21"/>
                      <w:szCs w:val="21"/>
                      <w:lang w:bidi="ar"/>
                    </w:rPr>
                  </w:pPr>
                  <w:r>
                    <w:rPr>
                      <w:rFonts w:hint="eastAsia"/>
                      <w:sz w:val="21"/>
                      <w:szCs w:val="21"/>
                      <w:lang w:bidi="ar"/>
                    </w:rPr>
                    <w:t>无组织废气</w:t>
                  </w:r>
                </w:p>
              </w:tc>
              <w:tc>
                <w:tcPr>
                  <w:tcW w:w="900" w:type="dxa"/>
                  <w:vMerge w:val="continue"/>
                  <w:vAlign w:val="center"/>
                </w:tcPr>
                <w:p w14:paraId="3C8195DD">
                  <w:pPr>
                    <w:spacing w:line="340" w:lineRule="exact"/>
                    <w:ind w:firstLine="0" w:firstLineChars="0"/>
                    <w:jc w:val="center"/>
                    <w:rPr>
                      <w:sz w:val="21"/>
                      <w:szCs w:val="21"/>
                      <w:lang w:bidi="ar"/>
                    </w:rPr>
                  </w:pPr>
                </w:p>
              </w:tc>
              <w:tc>
                <w:tcPr>
                  <w:tcW w:w="1145" w:type="dxa"/>
                  <w:tcBorders>
                    <w:right w:val="single" w:color="auto" w:sz="4" w:space="0"/>
                  </w:tcBorders>
                  <w:vAlign w:val="center"/>
                </w:tcPr>
                <w:p w14:paraId="4E64C880">
                  <w:pPr>
                    <w:spacing w:line="340" w:lineRule="exact"/>
                    <w:ind w:firstLine="0" w:firstLineChars="0"/>
                    <w:jc w:val="center"/>
                    <w:rPr>
                      <w:sz w:val="21"/>
                      <w:szCs w:val="21"/>
                      <w:lang w:bidi="ar"/>
                    </w:rPr>
                  </w:pPr>
                  <w:r>
                    <w:rPr>
                      <w:rFonts w:hint="eastAsia"/>
                      <w:sz w:val="21"/>
                      <w:szCs w:val="21"/>
                      <w:lang w:bidi="ar"/>
                    </w:rPr>
                    <w:t>/</w:t>
                  </w:r>
                </w:p>
              </w:tc>
              <w:tc>
                <w:tcPr>
                  <w:tcW w:w="1055" w:type="dxa"/>
                  <w:tcBorders>
                    <w:left w:val="single" w:color="auto" w:sz="4" w:space="0"/>
                  </w:tcBorders>
                  <w:vAlign w:val="center"/>
                </w:tcPr>
                <w:p w14:paraId="578B7578">
                  <w:pPr>
                    <w:spacing w:line="340" w:lineRule="exact"/>
                    <w:ind w:firstLine="0" w:firstLineChars="0"/>
                    <w:jc w:val="center"/>
                    <w:rPr>
                      <w:sz w:val="21"/>
                      <w:szCs w:val="21"/>
                      <w:lang w:bidi="ar"/>
                    </w:rPr>
                  </w:pPr>
                  <w:r>
                    <w:rPr>
                      <w:rFonts w:hint="eastAsia"/>
                      <w:sz w:val="21"/>
                      <w:szCs w:val="21"/>
                      <w:lang w:bidi="ar"/>
                    </w:rPr>
                    <w:t>0.5mg/m</w:t>
                  </w:r>
                  <w:r>
                    <w:rPr>
                      <w:rFonts w:hint="eastAsia"/>
                      <w:sz w:val="21"/>
                      <w:szCs w:val="21"/>
                      <w:vertAlign w:val="superscript"/>
                      <w:lang w:bidi="ar"/>
                    </w:rPr>
                    <w:t>3</w:t>
                  </w:r>
                </w:p>
              </w:tc>
              <w:tc>
                <w:tcPr>
                  <w:tcW w:w="1407" w:type="dxa"/>
                  <w:vAlign w:val="center"/>
                </w:tcPr>
                <w:p w14:paraId="745FE051">
                  <w:pPr>
                    <w:spacing w:line="340" w:lineRule="exact"/>
                    <w:ind w:firstLine="0" w:firstLineChars="0"/>
                    <w:jc w:val="center"/>
                    <w:rPr>
                      <w:sz w:val="21"/>
                      <w:szCs w:val="21"/>
                      <w:lang w:bidi="ar"/>
                    </w:rPr>
                  </w:pPr>
                  <w:r>
                    <w:rPr>
                      <w:rFonts w:hint="eastAsia"/>
                      <w:sz w:val="21"/>
                      <w:szCs w:val="21"/>
                      <w:lang w:bidi="ar"/>
                    </w:rPr>
                    <w:t>/</w:t>
                  </w:r>
                </w:p>
              </w:tc>
              <w:tc>
                <w:tcPr>
                  <w:tcW w:w="1095" w:type="dxa"/>
                  <w:vAlign w:val="center"/>
                </w:tcPr>
                <w:p w14:paraId="19F5605A">
                  <w:pPr>
                    <w:pStyle w:val="109"/>
                    <w:widowControl/>
                    <w:ind w:firstLine="0" w:firstLineChars="0"/>
                    <w:jc w:val="center"/>
                    <w:rPr>
                      <w:sz w:val="21"/>
                      <w:szCs w:val="21"/>
                      <w:lang w:bidi="ar"/>
                    </w:rPr>
                  </w:pPr>
                  <w:r>
                    <w:rPr>
                      <w:rFonts w:hint="default" w:ascii="Times New Roman" w:hAnsi="Times New Roman" w:eastAsia="宋体" w:cs="Times New Roman"/>
                      <w:sz w:val="21"/>
                      <w:szCs w:val="21"/>
                      <w:lang w:val="en-US" w:eastAsia="zh-CN" w:bidi="ar"/>
                    </w:rPr>
                    <w:t>0.22</w:t>
                  </w:r>
                  <w:r>
                    <w:rPr>
                      <w:rFonts w:hint="eastAsia" w:ascii="Times New Roman" w:hAnsi="Times New Roman" w:eastAsia="宋体"/>
                      <w:sz w:val="21"/>
                      <w:szCs w:val="21"/>
                    </w:rPr>
                    <w:t>t/a</w:t>
                  </w:r>
                </w:p>
              </w:tc>
              <w:tc>
                <w:tcPr>
                  <w:tcW w:w="1028" w:type="dxa"/>
                  <w:vMerge w:val="continue"/>
                  <w:vAlign w:val="center"/>
                </w:tcPr>
                <w:p w14:paraId="311359DA">
                  <w:pPr>
                    <w:spacing w:line="340" w:lineRule="exact"/>
                    <w:ind w:firstLine="0" w:firstLineChars="0"/>
                    <w:jc w:val="center"/>
                    <w:rPr>
                      <w:sz w:val="21"/>
                      <w:szCs w:val="21"/>
                      <w:lang w:bidi="ar"/>
                    </w:rPr>
                  </w:pPr>
                </w:p>
              </w:tc>
            </w:tr>
          </w:tbl>
          <w:p w14:paraId="1EBD6EAC">
            <w:pPr>
              <w:keepNext/>
              <w:keepLines/>
              <w:ind w:firstLine="0" w:firstLineChars="0"/>
              <w:jc w:val="left"/>
              <w:outlineLvl w:val="2"/>
              <w:rPr>
                <w:b/>
                <w:bCs/>
                <w:sz w:val="28"/>
                <w:szCs w:val="32"/>
              </w:rPr>
            </w:pPr>
            <w:r>
              <w:rPr>
                <w:b/>
                <w:bCs/>
                <w:sz w:val="28"/>
                <w:szCs w:val="32"/>
              </w:rPr>
              <w:t>3.8</w:t>
            </w:r>
            <w:r>
              <w:rPr>
                <w:rFonts w:hint="eastAsia"/>
                <w:b/>
                <w:bCs/>
                <w:sz w:val="28"/>
                <w:szCs w:val="32"/>
              </w:rPr>
              <w:t>.3</w:t>
            </w:r>
            <w:r>
              <w:rPr>
                <w:b/>
                <w:bCs/>
                <w:sz w:val="28"/>
                <w:szCs w:val="32"/>
              </w:rPr>
              <w:t xml:space="preserve"> </w:t>
            </w:r>
            <w:r>
              <w:rPr>
                <w:rFonts w:hint="eastAsia"/>
                <w:b/>
                <w:bCs/>
                <w:sz w:val="28"/>
                <w:szCs w:val="32"/>
              </w:rPr>
              <w:t>主要污染物总量指标来源</w:t>
            </w:r>
          </w:p>
          <w:p w14:paraId="6D463D6B">
            <w:pPr>
              <w:ind w:firstLine="480"/>
            </w:pPr>
            <w:r>
              <w:rPr>
                <w:rFonts w:hint="eastAsia"/>
              </w:rPr>
              <w:t>本项目排放废气主要为颗粒物，总量控制指标量为</w:t>
            </w:r>
            <w:r>
              <w:rPr>
                <w:rFonts w:hint="eastAsia"/>
                <w:sz w:val="24"/>
                <w:szCs w:val="24"/>
              </w:rPr>
              <w:t>0.3149</w:t>
            </w:r>
            <w:r>
              <w:rPr>
                <w:rFonts w:hint="eastAsia"/>
              </w:rPr>
              <w:t>t/a，无需申请总量控制指标</w:t>
            </w:r>
          </w:p>
        </w:tc>
      </w:tr>
    </w:tbl>
    <w:p w14:paraId="31FD28CF">
      <w:pPr>
        <w:ind w:firstLine="480"/>
        <w:sectPr>
          <w:pgSz w:w="11907" w:h="16840"/>
          <w:pgMar w:top="1418" w:right="1418" w:bottom="1418" w:left="1418" w:header="851" w:footer="851" w:gutter="0"/>
          <w:cols w:space="720" w:num="1"/>
          <w:docGrid w:linePitch="312" w:charSpace="0"/>
        </w:sectPr>
      </w:pPr>
    </w:p>
    <w:p w14:paraId="68507F2D">
      <w:pPr>
        <w:keepNext/>
        <w:overflowPunct w:val="0"/>
        <w:ind w:firstLine="0" w:firstLineChars="0"/>
        <w:jc w:val="center"/>
        <w:outlineLvl w:val="0"/>
        <w:rPr>
          <w:b/>
          <w:bCs/>
          <w:kern w:val="44"/>
          <w:sz w:val="32"/>
          <w:szCs w:val="30"/>
        </w:rPr>
      </w:pPr>
      <w:bookmarkStart w:id="19" w:name="_Toc9287"/>
      <w:bookmarkStart w:id="20" w:name="_Toc14237"/>
      <w:r>
        <w:rPr>
          <w:rFonts w:hint="eastAsia"/>
          <w:b/>
          <w:bCs/>
          <w:kern w:val="44"/>
          <w:sz w:val="32"/>
          <w:szCs w:val="30"/>
        </w:rPr>
        <w:t>四、主要环境影响和保护措施</w:t>
      </w:r>
      <w:bookmarkEnd w:id="19"/>
      <w:bookmarkEnd w:id="20"/>
    </w:p>
    <w:tbl>
      <w:tblPr>
        <w:tblStyle w:val="30"/>
        <w:tblW w:w="95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8695"/>
      </w:tblGrid>
      <w:tr w14:paraId="61521D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842" w:type="dxa"/>
            <w:tcMar>
              <w:left w:w="28" w:type="dxa"/>
              <w:right w:w="28" w:type="dxa"/>
            </w:tcMar>
            <w:vAlign w:val="center"/>
          </w:tcPr>
          <w:p w14:paraId="4E9F0B95">
            <w:pPr>
              <w:spacing w:line="240" w:lineRule="auto"/>
              <w:ind w:firstLine="0" w:firstLineChars="0"/>
              <w:jc w:val="center"/>
              <w:rPr>
                <w:szCs w:val="22"/>
              </w:rPr>
            </w:pPr>
            <w:r>
              <w:rPr>
                <w:szCs w:val="22"/>
              </w:rPr>
              <w:t>施工期环境保</w:t>
            </w:r>
          </w:p>
          <w:p w14:paraId="773D7A3C">
            <w:pPr>
              <w:spacing w:line="240" w:lineRule="auto"/>
              <w:ind w:firstLine="0" w:firstLineChars="0"/>
              <w:jc w:val="center"/>
              <w:rPr>
                <w:szCs w:val="22"/>
              </w:rPr>
            </w:pPr>
            <w:r>
              <w:rPr>
                <w:szCs w:val="22"/>
              </w:rPr>
              <w:t>护措施</w:t>
            </w:r>
          </w:p>
        </w:tc>
        <w:tc>
          <w:tcPr>
            <w:tcW w:w="8695" w:type="dxa"/>
            <w:vAlign w:val="center"/>
          </w:tcPr>
          <w:p w14:paraId="047E3BBC">
            <w:pPr>
              <w:pStyle w:val="3"/>
            </w:pPr>
            <w:r>
              <w:t>4.</w:t>
            </w:r>
            <w:r>
              <w:rPr>
                <w:rFonts w:hint="eastAsia"/>
              </w:rPr>
              <w:t>1 施工期环境保护措施</w:t>
            </w:r>
          </w:p>
          <w:p w14:paraId="0DDF6455">
            <w:pPr>
              <w:widowControl/>
              <w:ind w:firstLine="480"/>
              <w:jc w:val="left"/>
            </w:pPr>
            <w:r>
              <w:rPr>
                <w:color w:val="000000"/>
              </w:rPr>
              <w:t>项目租赁现有已建厂房</w:t>
            </w:r>
            <w:r>
              <w:rPr>
                <w:rFonts w:hint="eastAsia" w:ascii="宋体" w:hAnsi="宋体" w:cs="宋体"/>
                <w:kern w:val="0"/>
                <w:lang w:bidi="ar"/>
              </w:rPr>
              <w:t>，施工期主要环境影响为设备安装、调试，整个施工过程历时短，工程量小，且施工期的影响随着施工期的结束而消失，对周边的环境影响较小。因此不对施工期环境保护措施进行分析和论证。</w:t>
            </w:r>
          </w:p>
        </w:tc>
      </w:tr>
      <w:tr w14:paraId="046CC0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24" w:hRule="atLeast"/>
          <w:jc w:val="center"/>
        </w:trPr>
        <w:tc>
          <w:tcPr>
            <w:tcW w:w="842" w:type="dxa"/>
            <w:tcMar>
              <w:left w:w="28" w:type="dxa"/>
              <w:right w:w="28" w:type="dxa"/>
            </w:tcMar>
            <w:vAlign w:val="center"/>
          </w:tcPr>
          <w:p w14:paraId="72D80CC2">
            <w:pPr>
              <w:spacing w:line="240" w:lineRule="auto"/>
              <w:ind w:firstLine="0" w:firstLineChars="0"/>
              <w:jc w:val="center"/>
              <w:rPr>
                <w:szCs w:val="22"/>
              </w:rPr>
            </w:pPr>
            <w:r>
              <w:rPr>
                <w:szCs w:val="22"/>
              </w:rPr>
              <w:t>运营期环境影响和保护措施</w:t>
            </w:r>
          </w:p>
        </w:tc>
        <w:tc>
          <w:tcPr>
            <w:tcW w:w="8695" w:type="dxa"/>
          </w:tcPr>
          <w:p w14:paraId="589B037A">
            <w:pPr>
              <w:keepNext/>
              <w:keepLines/>
              <w:ind w:firstLine="0" w:firstLineChars="0"/>
              <w:jc w:val="left"/>
              <w:outlineLvl w:val="1"/>
              <w:rPr>
                <w:b/>
                <w:bCs/>
                <w:sz w:val="30"/>
                <w:szCs w:val="32"/>
              </w:rPr>
            </w:pPr>
            <w:r>
              <w:rPr>
                <w:b/>
                <w:bCs/>
                <w:sz w:val="30"/>
                <w:szCs w:val="32"/>
              </w:rPr>
              <w:t>4.</w:t>
            </w:r>
            <w:r>
              <w:rPr>
                <w:rFonts w:hint="eastAsia"/>
                <w:b/>
                <w:bCs/>
                <w:sz w:val="30"/>
                <w:szCs w:val="32"/>
              </w:rPr>
              <w:t xml:space="preserve">2 </w:t>
            </w:r>
            <w:r>
              <w:rPr>
                <w:b/>
                <w:bCs/>
                <w:sz w:val="30"/>
                <w:szCs w:val="32"/>
              </w:rPr>
              <w:t>运营期环境影响分析和污染防治措施</w:t>
            </w:r>
          </w:p>
          <w:p w14:paraId="4E098E4E">
            <w:pPr>
              <w:keepNext/>
              <w:keepLines/>
              <w:ind w:firstLine="0" w:firstLineChars="0"/>
              <w:jc w:val="left"/>
              <w:outlineLvl w:val="2"/>
              <w:rPr>
                <w:b/>
                <w:bCs/>
                <w:sz w:val="28"/>
                <w:szCs w:val="32"/>
              </w:rPr>
            </w:pPr>
            <w:r>
              <w:rPr>
                <w:b/>
                <w:bCs/>
                <w:sz w:val="28"/>
                <w:szCs w:val="32"/>
              </w:rPr>
              <w:t>4.</w:t>
            </w:r>
            <w:r>
              <w:rPr>
                <w:rFonts w:hint="eastAsia"/>
                <w:b/>
                <w:bCs/>
                <w:sz w:val="28"/>
                <w:szCs w:val="32"/>
              </w:rPr>
              <w:t>2.1</w:t>
            </w:r>
            <w:r>
              <w:rPr>
                <w:b/>
                <w:bCs/>
                <w:sz w:val="28"/>
                <w:szCs w:val="32"/>
              </w:rPr>
              <w:t>运营期大气环境影响分析和污染防治措施</w:t>
            </w:r>
          </w:p>
          <w:p w14:paraId="3E51B629">
            <w:pPr>
              <w:keepNext/>
              <w:keepLines/>
              <w:ind w:firstLine="0" w:firstLineChars="0"/>
              <w:jc w:val="left"/>
              <w:outlineLvl w:val="3"/>
            </w:pPr>
            <w:r>
              <w:rPr>
                <w:b/>
                <w:bCs/>
                <w:szCs w:val="28"/>
              </w:rPr>
              <w:t>4.</w:t>
            </w:r>
            <w:r>
              <w:rPr>
                <w:rFonts w:hint="eastAsia"/>
                <w:b/>
                <w:bCs/>
                <w:szCs w:val="28"/>
              </w:rPr>
              <w:t>2.1.1</w:t>
            </w:r>
            <w:r>
              <w:rPr>
                <w:b/>
                <w:bCs/>
                <w:szCs w:val="28"/>
              </w:rPr>
              <w:t>运营期废气源强核算</w:t>
            </w:r>
          </w:p>
          <w:p w14:paraId="48B2121F">
            <w:pPr>
              <w:ind w:firstLine="480"/>
            </w:pPr>
            <w:r>
              <w:rPr>
                <w:rFonts w:hint="eastAsia"/>
              </w:rPr>
              <w:t>本项目原辅料包括黑水泥、白水泥、沙子等干粉原料，年使用总量约为30000t。废气主要来源于投料、原料储存罐呼吸、搅拌和出料包装工序以及</w:t>
            </w:r>
            <w:r>
              <w:rPr>
                <w:rFonts w:hint="eastAsia"/>
                <w:lang w:eastAsia="zh-CN"/>
              </w:rPr>
              <w:t>车辆</w:t>
            </w:r>
            <w:r>
              <w:rPr>
                <w:rFonts w:hint="eastAsia"/>
              </w:rPr>
              <w:t>运输产生的粉尘。有组织末端治理技术为脉冲布袋除尘器，参照《排放源统计调查产排污核算方法和系数手册》中“3021水泥制品制造行业系数手册”中布袋除尘效率均为99.7%，综合考虑实际布袋运行情况，本次评价除尘效率取9</w:t>
            </w:r>
            <w:r>
              <w:rPr>
                <w:rFonts w:hint="eastAsia"/>
                <w:lang w:val="en-US" w:eastAsia="zh-CN"/>
              </w:rPr>
              <w:t>9</w:t>
            </w:r>
            <w:r>
              <w:rPr>
                <w:rFonts w:hint="eastAsia"/>
              </w:rPr>
              <w:t>%。</w:t>
            </w:r>
          </w:p>
          <w:p w14:paraId="3F588562">
            <w:pPr>
              <w:ind w:firstLine="480"/>
            </w:pPr>
            <w:r>
              <w:rPr>
                <w:rFonts w:hint="eastAsia"/>
              </w:rPr>
              <w:t>（1）原料储存罐呼吸粉尘</w:t>
            </w:r>
          </w:p>
          <w:p w14:paraId="5FDB3A18">
            <w:pPr>
              <w:widowControl/>
              <w:ind w:firstLine="480"/>
              <w:jc w:val="left"/>
            </w:pPr>
            <w:r>
              <w:rPr>
                <w:rFonts w:hint="eastAsia" w:ascii="宋体" w:hAnsi="宋体" w:cs="宋体"/>
                <w:color w:val="000000"/>
                <w:kern w:val="0"/>
                <w:lang w:bidi="ar"/>
              </w:rPr>
              <w:t>生产时，各物料通过储存罐气力输送系统（螺旋输送机系统</w:t>
            </w:r>
            <w:r>
              <w:rPr>
                <w:rFonts w:hint="eastAsia"/>
                <w:color w:val="000000"/>
                <w:kern w:val="0"/>
                <w:lang w:bidi="ar"/>
              </w:rPr>
              <w:t>）</w:t>
            </w:r>
            <w:r>
              <w:rPr>
                <w:rFonts w:hint="eastAsia" w:ascii="宋体" w:hAnsi="宋体" w:cs="宋体"/>
                <w:color w:val="000000"/>
                <w:kern w:val="0"/>
                <w:lang w:bidi="ar"/>
              </w:rPr>
              <w:t>将物料通过密闭管道通过螺旋输送机进入搅拌机，物料在筒仓内储存及输送过程会通过筒仓呼吸口产生一定的粉尘，该工序产污系数参照《排放源统计调查产排污核算方法和系数手册》中《</w:t>
            </w:r>
            <w:r>
              <w:rPr>
                <w:color w:val="000000"/>
                <w:kern w:val="0"/>
                <w:lang w:bidi="ar"/>
              </w:rPr>
              <w:t>3021</w:t>
            </w:r>
            <w:r>
              <w:rPr>
                <w:rFonts w:hint="eastAsia" w:ascii="宋体" w:hAnsi="宋体" w:cs="宋体"/>
                <w:color w:val="000000"/>
                <w:kern w:val="0"/>
                <w:lang w:bidi="ar"/>
              </w:rPr>
              <w:t>水泥制品制造（含</w:t>
            </w:r>
            <w:r>
              <w:rPr>
                <w:color w:val="000000"/>
                <w:kern w:val="0"/>
                <w:lang w:bidi="ar"/>
              </w:rPr>
              <w:t>3022</w:t>
            </w:r>
            <w:r>
              <w:rPr>
                <w:rFonts w:hint="eastAsia" w:ascii="宋体" w:hAnsi="宋体" w:cs="宋体"/>
                <w:color w:val="000000"/>
                <w:kern w:val="0"/>
                <w:lang w:bidi="ar"/>
              </w:rPr>
              <w:t>砼结构构件制造、</w:t>
            </w:r>
            <w:r>
              <w:rPr>
                <w:color w:val="000000"/>
                <w:kern w:val="0"/>
                <w:lang w:bidi="ar"/>
              </w:rPr>
              <w:t>3029</w:t>
            </w:r>
            <w:r>
              <w:rPr>
                <w:rFonts w:hint="eastAsia" w:ascii="宋体" w:hAnsi="宋体" w:cs="宋体"/>
                <w:color w:val="000000"/>
                <w:kern w:val="0"/>
                <w:lang w:bidi="ar"/>
              </w:rPr>
              <w:t>其他水泥类似制品制造）行业系数手册》“物料输送储存工序颗粒物产污系数为</w:t>
            </w:r>
            <w:r>
              <w:rPr>
                <w:color w:val="000000"/>
                <w:kern w:val="0"/>
                <w:lang w:bidi="ar"/>
              </w:rPr>
              <w:t>0.12</w:t>
            </w:r>
            <w:r>
              <w:rPr>
                <w:rFonts w:hint="eastAsia" w:ascii="宋体" w:hAnsi="宋体" w:cs="宋体"/>
                <w:color w:val="000000"/>
                <w:kern w:val="0"/>
                <w:lang w:bidi="ar"/>
              </w:rPr>
              <w:t>千克</w:t>
            </w:r>
            <w:r>
              <w:rPr>
                <w:color w:val="000000"/>
                <w:kern w:val="0"/>
                <w:lang w:bidi="ar"/>
              </w:rPr>
              <w:t>/</w:t>
            </w:r>
            <w:r>
              <w:rPr>
                <w:rFonts w:hint="eastAsia" w:ascii="宋体" w:hAnsi="宋体" w:cs="宋体"/>
                <w:color w:val="000000"/>
                <w:kern w:val="0"/>
                <w:lang w:bidi="ar"/>
              </w:rPr>
              <w:t>吨</w:t>
            </w:r>
            <w:r>
              <w:rPr>
                <w:color w:val="000000"/>
                <w:kern w:val="0"/>
                <w:lang w:bidi="ar"/>
              </w:rPr>
              <w:t>-</w:t>
            </w:r>
            <w:r>
              <w:rPr>
                <w:rFonts w:hint="eastAsia" w:ascii="宋体" w:hAnsi="宋体" w:cs="宋体"/>
                <w:color w:val="000000"/>
                <w:kern w:val="0"/>
                <w:lang w:bidi="ar"/>
              </w:rPr>
              <w:t>产品”，产</w:t>
            </w:r>
            <w:r>
              <w:rPr>
                <w:rFonts w:hint="eastAsia" w:ascii="宋体" w:hAnsi="宋体" w:cs="宋体"/>
                <w:kern w:val="0"/>
                <w:lang w:bidi="ar"/>
              </w:rPr>
              <w:t>品为</w:t>
            </w:r>
            <w:r>
              <w:rPr>
                <w:kern w:val="0"/>
                <w:lang w:bidi="ar"/>
              </w:rPr>
              <w:t>30000吨</w:t>
            </w:r>
            <w:r>
              <w:rPr>
                <w:rFonts w:hint="eastAsia" w:ascii="宋体" w:hAnsi="宋体" w:cs="宋体"/>
                <w:color w:val="000000"/>
                <w:kern w:val="0"/>
                <w:lang w:bidi="ar"/>
              </w:rPr>
              <w:t>干粉砂浆，产生的颗粒物</w:t>
            </w:r>
            <w:r>
              <w:rPr>
                <w:color w:val="000000"/>
                <w:kern w:val="0"/>
                <w:lang w:bidi="ar"/>
              </w:rPr>
              <w:t>为3.6t/a，通过管收集，效率为100%，引至布袋除尘器处理，处理效率为9</w:t>
            </w:r>
            <w:r>
              <w:rPr>
                <w:rFonts w:hint="eastAsia"/>
                <w:color w:val="000000"/>
                <w:kern w:val="0"/>
                <w:lang w:val="en-US" w:eastAsia="zh-CN" w:bidi="ar"/>
              </w:rPr>
              <w:t>9</w:t>
            </w:r>
            <w:r>
              <w:rPr>
                <w:color w:val="000000"/>
                <w:kern w:val="0"/>
                <w:lang w:bidi="ar"/>
              </w:rPr>
              <w:t>%。有组织排放量为0.</w:t>
            </w:r>
            <w:r>
              <w:rPr>
                <w:rFonts w:hint="eastAsia"/>
                <w:color w:val="000000"/>
                <w:kern w:val="0"/>
                <w:lang w:val="en-US" w:eastAsia="zh-CN" w:bidi="ar"/>
              </w:rPr>
              <w:t>036</w:t>
            </w:r>
            <w:r>
              <w:rPr>
                <w:color w:val="000000"/>
                <w:kern w:val="0"/>
                <w:lang w:bidi="ar"/>
              </w:rPr>
              <w:t>t/a。</w:t>
            </w:r>
          </w:p>
          <w:p w14:paraId="5AEC26BD">
            <w:pPr>
              <w:bidi w:val="0"/>
              <w:rPr>
                <w:color w:val="000000"/>
                <w:kern w:val="0"/>
                <w:lang w:bidi="ar"/>
              </w:rPr>
            </w:pPr>
            <w:bookmarkStart w:id="21" w:name="_Toc21691"/>
            <w:r>
              <w:t>（</w:t>
            </w:r>
            <w:r>
              <w:rPr>
                <w:rFonts w:hint="eastAsia"/>
              </w:rPr>
              <w:t>2</w:t>
            </w:r>
            <w:r>
              <w:t>）投料粉尘</w:t>
            </w:r>
            <w:bookmarkEnd w:id="21"/>
          </w:p>
          <w:p w14:paraId="3211E30E">
            <w:pPr>
              <w:widowControl/>
              <w:ind w:firstLine="480"/>
              <w:jc w:val="left"/>
            </w:pPr>
            <w:r>
              <w:rPr>
                <w:rFonts w:hint="eastAsia"/>
                <w:color w:val="000000"/>
                <w:kern w:val="0"/>
                <w:lang w:bidi="ar"/>
              </w:rPr>
              <w:t>项目除黑水泥外原辅料（合计25005t）通过</w:t>
            </w:r>
            <w:r>
              <w:rPr>
                <w:rFonts w:hint="eastAsia" w:ascii="宋体" w:hAnsi="宋体" w:cs="宋体"/>
                <w:color w:val="000000"/>
                <w:kern w:val="0"/>
                <w:lang w:bidi="ar"/>
              </w:rPr>
              <w:t>人工投料系统进入储存罐后进行生产，采用内部回吸的方式，将逸散粉尘回吸至投料仓内，此部分粉尘参考《逸散性工业粉尘控制技术》</w:t>
            </w:r>
            <w:r>
              <w:rPr>
                <w:color w:val="000000"/>
                <w:kern w:val="0"/>
                <w:lang w:bidi="ar"/>
              </w:rPr>
              <w:t>P332</w:t>
            </w:r>
            <w:r>
              <w:rPr>
                <w:rFonts w:hint="eastAsia" w:ascii="宋体" w:hAnsi="宋体" w:cs="宋体"/>
                <w:color w:val="000000"/>
                <w:kern w:val="0"/>
                <w:lang w:bidi="ar"/>
              </w:rPr>
              <w:t>表</w:t>
            </w:r>
            <w:r>
              <w:rPr>
                <w:color w:val="000000"/>
                <w:kern w:val="0"/>
                <w:lang w:bidi="ar"/>
              </w:rPr>
              <w:t>22-1</w:t>
            </w:r>
            <w:r>
              <w:rPr>
                <w:rFonts w:hint="eastAsia" w:ascii="宋体" w:hAnsi="宋体" w:cs="宋体"/>
                <w:color w:val="000000"/>
                <w:kern w:val="0"/>
                <w:lang w:bidi="ar"/>
              </w:rPr>
              <w:t>混凝土分批搅拌厂的</w:t>
            </w:r>
            <w:r>
              <w:rPr>
                <w:rFonts w:hint="eastAsia" w:ascii="宋体" w:hAnsi="宋体" w:cs="宋体"/>
                <w:color w:val="000000"/>
                <w:kern w:val="0"/>
                <w:lang w:eastAsia="zh-CN" w:bidi="ar"/>
              </w:rPr>
              <w:t>逸散</w:t>
            </w:r>
            <w:r>
              <w:rPr>
                <w:rFonts w:hint="eastAsia" w:ascii="宋体" w:hAnsi="宋体" w:cs="宋体"/>
                <w:color w:val="000000"/>
                <w:kern w:val="0"/>
                <w:lang w:bidi="ar"/>
              </w:rPr>
              <w:t>尘排放因子“装水泥、砂和粒料进入称量斗</w:t>
            </w:r>
            <w:r>
              <w:rPr>
                <w:color w:val="000000"/>
                <w:kern w:val="0"/>
                <w:lang w:bidi="ar"/>
              </w:rPr>
              <w:t>0.01kg/t</w:t>
            </w:r>
            <w:r>
              <w:rPr>
                <w:rFonts w:hint="eastAsia"/>
                <w:color w:val="000000"/>
                <w:kern w:val="0"/>
                <w:lang w:eastAsia="zh-CN" w:bidi="ar"/>
              </w:rPr>
              <w:t>（</w:t>
            </w:r>
            <w:r>
              <w:rPr>
                <w:rFonts w:hint="eastAsia" w:ascii="宋体" w:hAnsi="宋体" w:cs="宋体"/>
                <w:color w:val="000000"/>
                <w:kern w:val="0"/>
                <w:lang w:bidi="ar"/>
              </w:rPr>
              <w:t>装料</w:t>
            </w:r>
            <w:r>
              <w:rPr>
                <w:rFonts w:hint="eastAsia"/>
                <w:color w:val="000000"/>
                <w:kern w:val="0"/>
                <w:lang w:eastAsia="zh-CN" w:bidi="ar"/>
              </w:rPr>
              <w:t>）</w:t>
            </w:r>
            <w:r>
              <w:rPr>
                <w:rFonts w:hint="eastAsia" w:ascii="宋体" w:hAnsi="宋体" w:cs="宋体"/>
                <w:color w:val="000000"/>
                <w:kern w:val="0"/>
                <w:lang w:bidi="ar"/>
              </w:rPr>
              <w:t>”，因此产生的颗粒物约为</w:t>
            </w:r>
            <w:r>
              <w:rPr>
                <w:color w:val="000000"/>
                <w:kern w:val="0"/>
                <w:lang w:bidi="ar"/>
              </w:rPr>
              <w:t>0.</w:t>
            </w:r>
            <w:r>
              <w:rPr>
                <w:rFonts w:hint="eastAsia"/>
                <w:color w:val="000000"/>
                <w:kern w:val="0"/>
                <w:lang w:bidi="ar"/>
              </w:rPr>
              <w:t>25</w:t>
            </w:r>
            <w:r>
              <w:rPr>
                <w:color w:val="000000"/>
                <w:kern w:val="0"/>
                <w:lang w:bidi="ar"/>
              </w:rPr>
              <w:t>t/a</w:t>
            </w:r>
            <w:r>
              <w:rPr>
                <w:rFonts w:hint="eastAsia" w:ascii="宋体" w:hAnsi="宋体" w:cs="宋体"/>
                <w:color w:val="000000"/>
                <w:kern w:val="0"/>
                <w:lang w:bidi="ar"/>
              </w:rPr>
              <w:t>。收集效率为</w:t>
            </w:r>
            <w:r>
              <w:rPr>
                <w:color w:val="000000"/>
                <w:kern w:val="0"/>
                <w:lang w:bidi="ar"/>
              </w:rPr>
              <w:t>90%</w:t>
            </w:r>
            <w:r>
              <w:rPr>
                <w:rFonts w:hint="eastAsia" w:ascii="宋体" w:hAnsi="宋体" w:cs="宋体"/>
                <w:color w:val="000000"/>
                <w:kern w:val="0"/>
                <w:lang w:bidi="ar"/>
              </w:rPr>
              <w:t>，引至顶部布袋除尘器处理，处理效率为</w:t>
            </w:r>
            <w:r>
              <w:rPr>
                <w:color w:val="000000"/>
                <w:kern w:val="0"/>
                <w:lang w:bidi="ar"/>
              </w:rPr>
              <w:t>9</w:t>
            </w:r>
            <w:r>
              <w:rPr>
                <w:rFonts w:hint="eastAsia"/>
                <w:color w:val="000000"/>
                <w:kern w:val="0"/>
                <w:lang w:val="en-US" w:eastAsia="zh-CN" w:bidi="ar"/>
              </w:rPr>
              <w:t>9</w:t>
            </w:r>
            <w:r>
              <w:rPr>
                <w:color w:val="000000"/>
                <w:kern w:val="0"/>
                <w:lang w:bidi="ar"/>
              </w:rPr>
              <w:t>%</w:t>
            </w:r>
            <w:r>
              <w:rPr>
                <w:rFonts w:hint="eastAsia"/>
                <w:color w:val="000000"/>
                <w:kern w:val="0"/>
                <w:lang w:bidi="ar"/>
              </w:rPr>
              <w:t>，</w:t>
            </w:r>
            <w:r>
              <w:rPr>
                <w:rFonts w:hint="eastAsia"/>
              </w:rPr>
              <w:t>则有组织卸料粉尘排放量为0.</w:t>
            </w:r>
            <w:r>
              <w:rPr>
                <w:rFonts w:hint="eastAsia"/>
                <w:lang w:val="en-US" w:eastAsia="zh-CN"/>
              </w:rPr>
              <w:t>0023</w:t>
            </w:r>
            <w:r>
              <w:rPr>
                <w:rFonts w:hint="eastAsia"/>
              </w:rPr>
              <w:t>t/a，无组织卸料粉尘排放量约为0.025t/a。</w:t>
            </w:r>
          </w:p>
          <w:p w14:paraId="7D30B042">
            <w:pPr>
              <w:ind w:firstLine="480"/>
              <w:rPr>
                <w:color w:val="FF0000"/>
              </w:rPr>
            </w:pPr>
            <w:r>
              <w:rPr>
                <w:rFonts w:hint="eastAsia"/>
              </w:rPr>
              <w:t>（3）搅拌粉尘</w:t>
            </w:r>
          </w:p>
          <w:p w14:paraId="22B5E404">
            <w:pPr>
              <w:widowControl/>
              <w:ind w:firstLine="480"/>
              <w:jc w:val="left"/>
            </w:pPr>
            <w:r>
              <w:rPr>
                <w:rFonts w:hint="eastAsia" w:ascii="宋体" w:hAnsi="宋体" w:cs="宋体"/>
                <w:color w:val="000000"/>
                <w:kern w:val="0"/>
                <w:lang w:bidi="ar"/>
              </w:rPr>
              <w:t>各物料进入搅拌机，在搅拌机内均匀混合，项目物料在搅拌机内的搅拌过程将产生一定的粉尘，该工序产污系数参照《排放源统计调查产排污核算方法和系数手册》中《</w:t>
            </w:r>
            <w:r>
              <w:rPr>
                <w:color w:val="000000"/>
                <w:kern w:val="0"/>
                <w:lang w:bidi="ar"/>
              </w:rPr>
              <w:t>3021</w:t>
            </w:r>
            <w:r>
              <w:rPr>
                <w:rFonts w:hint="eastAsia" w:ascii="宋体" w:hAnsi="宋体" w:cs="宋体"/>
                <w:color w:val="000000"/>
                <w:kern w:val="0"/>
                <w:lang w:bidi="ar"/>
              </w:rPr>
              <w:t>水泥制品制造（含</w:t>
            </w:r>
            <w:r>
              <w:rPr>
                <w:color w:val="000000"/>
                <w:kern w:val="0"/>
                <w:lang w:bidi="ar"/>
              </w:rPr>
              <w:t>3022</w:t>
            </w:r>
            <w:r>
              <w:rPr>
                <w:rFonts w:hint="eastAsia" w:ascii="宋体" w:hAnsi="宋体" w:cs="宋体"/>
                <w:color w:val="000000"/>
                <w:kern w:val="0"/>
                <w:lang w:bidi="ar"/>
              </w:rPr>
              <w:t>砼结构构件制造、</w:t>
            </w:r>
            <w:r>
              <w:rPr>
                <w:color w:val="000000"/>
                <w:kern w:val="0"/>
                <w:lang w:bidi="ar"/>
              </w:rPr>
              <w:t>3029</w:t>
            </w:r>
            <w:r>
              <w:rPr>
                <w:rFonts w:hint="eastAsia" w:ascii="宋体" w:hAnsi="宋体" w:cs="宋体"/>
                <w:color w:val="000000"/>
                <w:kern w:val="0"/>
                <w:lang w:bidi="ar"/>
              </w:rPr>
              <w:t>其他水泥类似制品制造）行业系数手册》“物料混合搅拌工序颗粒物产污系数为</w:t>
            </w:r>
            <w:r>
              <w:rPr>
                <w:color w:val="000000"/>
                <w:kern w:val="0"/>
                <w:lang w:bidi="ar"/>
              </w:rPr>
              <w:t>0.13</w:t>
            </w:r>
            <w:r>
              <w:rPr>
                <w:rFonts w:hint="eastAsia" w:ascii="宋体" w:hAnsi="宋体" w:cs="宋体"/>
                <w:color w:val="000000"/>
                <w:kern w:val="0"/>
                <w:lang w:bidi="ar"/>
              </w:rPr>
              <w:t>千克</w:t>
            </w:r>
            <w:r>
              <w:rPr>
                <w:color w:val="000000"/>
                <w:kern w:val="0"/>
                <w:lang w:bidi="ar"/>
              </w:rPr>
              <w:t>/</w:t>
            </w:r>
            <w:r>
              <w:rPr>
                <w:rFonts w:hint="eastAsia" w:ascii="宋体" w:hAnsi="宋体" w:cs="宋体"/>
                <w:color w:val="000000"/>
                <w:kern w:val="0"/>
                <w:lang w:bidi="ar"/>
              </w:rPr>
              <w:t>吨</w:t>
            </w:r>
            <w:r>
              <w:rPr>
                <w:color w:val="000000"/>
                <w:kern w:val="0"/>
                <w:lang w:bidi="ar"/>
              </w:rPr>
              <w:t>-</w:t>
            </w:r>
            <w:r>
              <w:rPr>
                <w:rFonts w:hint="eastAsia" w:ascii="宋体" w:hAnsi="宋体" w:cs="宋体"/>
                <w:color w:val="000000"/>
                <w:kern w:val="0"/>
                <w:lang w:bidi="ar"/>
              </w:rPr>
              <w:t>产品”，产生的颗粒物为</w:t>
            </w:r>
            <w:r>
              <w:rPr>
                <w:rFonts w:hint="eastAsia"/>
                <w:color w:val="000000"/>
                <w:kern w:val="0"/>
                <w:lang w:bidi="ar"/>
              </w:rPr>
              <w:t>3.9</w:t>
            </w:r>
            <w:r>
              <w:rPr>
                <w:color w:val="000000"/>
                <w:kern w:val="0"/>
                <w:lang w:bidi="ar"/>
              </w:rPr>
              <w:t>t/a</w:t>
            </w:r>
            <w:r>
              <w:rPr>
                <w:rFonts w:hint="eastAsia" w:ascii="宋体" w:hAnsi="宋体" w:cs="宋体"/>
                <w:color w:val="000000"/>
                <w:kern w:val="0"/>
                <w:lang w:bidi="ar"/>
              </w:rPr>
              <w:t>，通过管收集，效率为</w:t>
            </w:r>
            <w:r>
              <w:rPr>
                <w:color w:val="000000"/>
                <w:kern w:val="0"/>
                <w:lang w:bidi="ar"/>
              </w:rPr>
              <w:t>100%</w:t>
            </w:r>
            <w:r>
              <w:rPr>
                <w:rFonts w:hint="eastAsia" w:ascii="宋体" w:hAnsi="宋体" w:cs="宋体"/>
                <w:color w:val="000000"/>
                <w:kern w:val="0"/>
                <w:lang w:bidi="ar"/>
              </w:rPr>
              <w:t>，引至布袋除尘器处理，处理效率为</w:t>
            </w:r>
            <w:r>
              <w:rPr>
                <w:color w:val="000000"/>
                <w:kern w:val="0"/>
                <w:lang w:bidi="ar"/>
              </w:rPr>
              <w:t>9</w:t>
            </w:r>
            <w:r>
              <w:rPr>
                <w:rFonts w:hint="eastAsia"/>
                <w:color w:val="000000"/>
                <w:kern w:val="0"/>
                <w:lang w:val="en-US" w:eastAsia="zh-CN" w:bidi="ar"/>
              </w:rPr>
              <w:t>9</w:t>
            </w:r>
            <w:r>
              <w:rPr>
                <w:color w:val="000000"/>
                <w:kern w:val="0"/>
                <w:lang w:bidi="ar"/>
              </w:rPr>
              <w:t>%</w:t>
            </w:r>
            <w:r>
              <w:rPr>
                <w:rFonts w:hint="eastAsia" w:ascii="宋体" w:hAnsi="宋体" w:cs="宋体"/>
                <w:color w:val="000000"/>
                <w:kern w:val="0"/>
                <w:lang w:bidi="ar"/>
              </w:rPr>
              <w:t>，</w:t>
            </w:r>
            <w:r>
              <w:rPr>
                <w:rFonts w:hint="eastAsia"/>
              </w:rPr>
              <w:t>有组织排放量为0.</w:t>
            </w:r>
            <w:r>
              <w:rPr>
                <w:rFonts w:hint="eastAsia"/>
                <w:lang w:val="en-US" w:eastAsia="zh-CN"/>
              </w:rPr>
              <w:t>039</w:t>
            </w:r>
            <w:r>
              <w:rPr>
                <w:rFonts w:hint="eastAsia"/>
              </w:rPr>
              <w:t>t/a。</w:t>
            </w:r>
          </w:p>
          <w:p w14:paraId="1494AE1A">
            <w:pPr>
              <w:ind w:firstLine="480"/>
            </w:pPr>
            <w:r>
              <w:rPr>
                <w:rFonts w:hint="eastAsia"/>
              </w:rPr>
              <w:t>（4）出料包装粉尘</w:t>
            </w:r>
          </w:p>
          <w:p w14:paraId="37CEEFCE">
            <w:pPr>
              <w:widowControl/>
              <w:ind w:firstLine="480"/>
              <w:jc w:val="left"/>
            </w:pPr>
            <w:r>
              <w:rPr>
                <w:rFonts w:hint="eastAsia" w:ascii="宋体" w:hAnsi="宋体" w:cs="宋体"/>
                <w:color w:val="000000"/>
                <w:kern w:val="0"/>
                <w:lang w:bidi="ar"/>
              </w:rPr>
              <w:t>项目不设置产品散料堆场，搅拌后混合均匀的物料全部通过搅拌机下方的出料管口进行直接袋装密封。由于出口料与包装袋袋口无法做到全密闭，产品袋装过程会有一定的粉尘逸散。产品通过搅拌机出料口直接进行袋装，袋装过程物料扰动量较小，粉尘产生量较少，该工序产排污系数参数《</w:t>
            </w:r>
            <w:r>
              <w:rPr>
                <w:color w:val="000000"/>
                <w:kern w:val="0"/>
                <w:lang w:bidi="ar"/>
              </w:rPr>
              <w:t>3021</w:t>
            </w:r>
            <w:r>
              <w:rPr>
                <w:rFonts w:hint="eastAsia" w:ascii="宋体" w:hAnsi="宋体" w:cs="宋体"/>
                <w:color w:val="000000"/>
                <w:kern w:val="0"/>
                <w:lang w:bidi="ar"/>
              </w:rPr>
              <w:t>水泥制品制造（含</w:t>
            </w:r>
            <w:r>
              <w:rPr>
                <w:color w:val="000000"/>
                <w:kern w:val="0"/>
                <w:lang w:bidi="ar"/>
              </w:rPr>
              <w:t>3022</w:t>
            </w:r>
            <w:r>
              <w:rPr>
                <w:rFonts w:hint="eastAsia" w:ascii="宋体" w:hAnsi="宋体" w:cs="宋体"/>
                <w:color w:val="000000"/>
                <w:kern w:val="0"/>
                <w:lang w:bidi="ar"/>
              </w:rPr>
              <w:t>砼结构构件制造、</w:t>
            </w:r>
            <w:r>
              <w:rPr>
                <w:color w:val="000000"/>
                <w:kern w:val="0"/>
                <w:lang w:bidi="ar"/>
              </w:rPr>
              <w:t>3029</w:t>
            </w:r>
            <w:r>
              <w:rPr>
                <w:rFonts w:hint="eastAsia" w:ascii="宋体" w:hAnsi="宋体" w:cs="宋体"/>
                <w:color w:val="000000"/>
                <w:kern w:val="0"/>
                <w:lang w:bidi="ar"/>
              </w:rPr>
              <w:t>其他水泥类似制品制造）行业系数手册》“物料混合搅拌工序”产排污系数的</w:t>
            </w:r>
            <w:r>
              <w:rPr>
                <w:color w:val="000000"/>
                <w:kern w:val="0"/>
                <w:lang w:bidi="ar"/>
              </w:rPr>
              <w:t>50%</w:t>
            </w:r>
            <w:r>
              <w:rPr>
                <w:rFonts w:hint="eastAsia" w:ascii="宋体" w:hAnsi="宋体" w:cs="宋体"/>
                <w:color w:val="000000"/>
                <w:kern w:val="0"/>
                <w:lang w:bidi="ar"/>
              </w:rPr>
              <w:t>计算，</w:t>
            </w:r>
            <w:r>
              <w:rPr>
                <w:rFonts w:hint="eastAsia" w:ascii="宋体" w:hAnsi="宋体" w:cs="宋体"/>
                <w:color w:val="000000"/>
                <w:kern w:val="0"/>
                <w:lang w:val="en-US" w:eastAsia="zh-CN" w:bidi="ar"/>
              </w:rPr>
              <w:t>即</w:t>
            </w:r>
            <w:r>
              <w:rPr>
                <w:color w:val="000000"/>
                <w:kern w:val="0"/>
                <w:lang w:bidi="ar"/>
              </w:rPr>
              <w:t>0.</w:t>
            </w:r>
            <w:r>
              <w:rPr>
                <w:rFonts w:hint="eastAsia"/>
                <w:color w:val="000000"/>
                <w:kern w:val="0"/>
                <w:lang w:val="en-US" w:eastAsia="zh-CN" w:bidi="ar"/>
              </w:rPr>
              <w:t>065</w:t>
            </w:r>
            <w:r>
              <w:rPr>
                <w:rFonts w:hint="eastAsia" w:ascii="宋体" w:hAnsi="宋体" w:cs="宋体"/>
                <w:color w:val="000000"/>
                <w:kern w:val="0"/>
                <w:lang w:bidi="ar"/>
              </w:rPr>
              <w:t>千克</w:t>
            </w:r>
            <w:r>
              <w:rPr>
                <w:color w:val="000000"/>
                <w:kern w:val="0"/>
                <w:lang w:bidi="ar"/>
              </w:rPr>
              <w:t>/</w:t>
            </w:r>
            <w:r>
              <w:rPr>
                <w:rFonts w:hint="eastAsia" w:ascii="宋体" w:hAnsi="宋体" w:cs="宋体"/>
                <w:color w:val="000000"/>
                <w:kern w:val="0"/>
                <w:lang w:bidi="ar"/>
              </w:rPr>
              <w:t>吨</w:t>
            </w:r>
            <w:r>
              <w:rPr>
                <w:color w:val="000000"/>
                <w:kern w:val="0"/>
                <w:lang w:bidi="ar"/>
              </w:rPr>
              <w:t>-</w:t>
            </w:r>
            <w:r>
              <w:rPr>
                <w:rFonts w:hint="eastAsia" w:ascii="宋体" w:hAnsi="宋体" w:cs="宋体"/>
                <w:color w:val="000000"/>
                <w:kern w:val="0"/>
                <w:lang w:bidi="ar"/>
              </w:rPr>
              <w:t>产品颗粒物</w:t>
            </w:r>
            <w:r>
              <w:rPr>
                <w:rFonts w:hint="eastAsia" w:ascii="宋体" w:hAnsi="宋体" w:cs="宋体"/>
                <w:color w:val="000000"/>
                <w:kern w:val="0"/>
                <w:lang w:eastAsia="zh-CN" w:bidi="ar"/>
              </w:rPr>
              <w:t>。</w:t>
            </w:r>
            <w:r>
              <w:rPr>
                <w:rFonts w:hint="eastAsia" w:ascii="宋体" w:hAnsi="宋体" w:cs="宋体"/>
                <w:color w:val="000000"/>
                <w:kern w:val="0"/>
                <w:lang w:bidi="ar"/>
              </w:rPr>
              <w:t>产生量为</w:t>
            </w:r>
            <w:r>
              <w:rPr>
                <w:rFonts w:hint="eastAsia"/>
                <w:color w:val="000000"/>
                <w:kern w:val="0"/>
                <w:lang w:bidi="ar"/>
              </w:rPr>
              <w:t>1.95</w:t>
            </w:r>
            <w:r>
              <w:rPr>
                <w:color w:val="000000"/>
                <w:kern w:val="0"/>
                <w:lang w:bidi="ar"/>
              </w:rPr>
              <w:t>t/a</w:t>
            </w:r>
            <w:r>
              <w:rPr>
                <w:rFonts w:hint="eastAsia" w:ascii="宋体" w:hAnsi="宋体" w:cs="宋体"/>
                <w:color w:val="000000"/>
                <w:kern w:val="0"/>
                <w:lang w:bidi="ar"/>
              </w:rPr>
              <w:t>，通过半封闭式围挡与集气罩收集，收集效率按</w:t>
            </w:r>
            <w:r>
              <w:rPr>
                <w:color w:val="000000"/>
                <w:kern w:val="0"/>
                <w:lang w:bidi="ar"/>
              </w:rPr>
              <w:t>90%</w:t>
            </w:r>
            <w:r>
              <w:rPr>
                <w:rFonts w:hint="eastAsia" w:ascii="宋体" w:hAnsi="宋体" w:cs="宋体"/>
                <w:color w:val="000000"/>
                <w:kern w:val="0"/>
                <w:lang w:bidi="ar"/>
              </w:rPr>
              <w:t>，引至顶部布袋除尘器处理，处理效率为</w:t>
            </w:r>
            <w:r>
              <w:rPr>
                <w:color w:val="000000"/>
                <w:kern w:val="0"/>
                <w:lang w:bidi="ar"/>
              </w:rPr>
              <w:t>9</w:t>
            </w:r>
            <w:r>
              <w:rPr>
                <w:rFonts w:hint="eastAsia"/>
                <w:color w:val="000000"/>
                <w:kern w:val="0"/>
                <w:lang w:val="en-US" w:eastAsia="zh-CN" w:bidi="ar"/>
              </w:rPr>
              <w:t>9</w:t>
            </w:r>
            <w:r>
              <w:rPr>
                <w:color w:val="000000"/>
                <w:kern w:val="0"/>
                <w:lang w:bidi="ar"/>
              </w:rPr>
              <w:t>%</w:t>
            </w:r>
            <w:r>
              <w:rPr>
                <w:rFonts w:hint="eastAsia" w:ascii="宋体" w:hAnsi="宋体" w:cs="宋体"/>
                <w:color w:val="000000"/>
                <w:kern w:val="0"/>
                <w:lang w:bidi="ar"/>
              </w:rPr>
              <w:t>。</w:t>
            </w:r>
            <w:r>
              <w:rPr>
                <w:rFonts w:hint="eastAsia"/>
              </w:rPr>
              <w:t>则有组织投料粉尘排放量为0.0</w:t>
            </w:r>
            <w:r>
              <w:rPr>
                <w:rFonts w:hint="eastAsia"/>
                <w:lang w:val="en-US" w:eastAsia="zh-CN"/>
              </w:rPr>
              <w:t>1755</w:t>
            </w:r>
            <w:r>
              <w:rPr>
                <w:rFonts w:hint="eastAsia"/>
              </w:rPr>
              <w:t>/a，无组织投料粉尘排放量为0.195t/a。</w:t>
            </w:r>
          </w:p>
          <w:p w14:paraId="39847730">
            <w:pPr>
              <w:ind w:firstLine="480"/>
            </w:pPr>
            <w:r>
              <w:rPr>
                <w:rFonts w:hint="eastAsia"/>
              </w:rPr>
              <w:t xml:space="preserve">（5）车辆运输粉尘 </w:t>
            </w:r>
          </w:p>
          <w:p w14:paraId="42B96921">
            <w:pPr>
              <w:ind w:firstLine="480"/>
            </w:pPr>
            <w:r>
              <w:rPr>
                <w:rFonts w:hint="eastAsia"/>
              </w:rPr>
              <w:t>本项目黑水泥采用专用密封罐车运输，袋装原料、袋装成品运输车辆采用密闭、苫布覆盖措施。可有效地降低运输车辆行驶过程中产生的扬尘，运输扬尘不再定量分析。</w:t>
            </w:r>
          </w:p>
          <w:p w14:paraId="0D9D63BF">
            <w:pPr>
              <w:widowControl/>
              <w:ind w:firstLine="480"/>
              <w:jc w:val="left"/>
            </w:pPr>
            <w:r>
              <w:rPr>
                <w:rFonts w:hint="eastAsia"/>
              </w:rPr>
              <w:t>本项目的有组织和无组织产排情况一览表分别详见表4.2-1。</w:t>
            </w:r>
          </w:p>
        </w:tc>
      </w:tr>
    </w:tbl>
    <w:p w14:paraId="44F9D232">
      <w:pPr>
        <w:ind w:firstLine="480"/>
      </w:pPr>
    </w:p>
    <w:p w14:paraId="6A1D1831">
      <w:pPr>
        <w:adjustRightInd w:val="0"/>
        <w:snapToGrid w:val="0"/>
        <w:ind w:firstLine="562"/>
        <w:rPr>
          <w:b/>
          <w:kern w:val="0"/>
          <w:sz w:val="28"/>
          <w:szCs w:val="28"/>
        </w:rPr>
        <w:sectPr>
          <w:pgSz w:w="11907" w:h="16840"/>
          <w:pgMar w:top="1134" w:right="1418" w:bottom="1134" w:left="1418" w:header="851" w:footer="851" w:gutter="0"/>
          <w:cols w:space="720" w:num="1"/>
          <w:docGrid w:linePitch="312" w:charSpace="0"/>
        </w:sectPr>
      </w:pPr>
    </w:p>
    <w:tbl>
      <w:tblPr>
        <w:tblStyle w:val="30"/>
        <w:tblW w:w="502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20823"/>
      </w:tblGrid>
      <w:tr w14:paraId="5D738E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 w:type="pct"/>
            <w:tcMar>
              <w:left w:w="28" w:type="dxa"/>
              <w:right w:w="28" w:type="dxa"/>
            </w:tcMar>
            <w:vAlign w:val="center"/>
          </w:tcPr>
          <w:p w14:paraId="20C82AB5">
            <w:pPr>
              <w:spacing w:line="240" w:lineRule="auto"/>
              <w:ind w:firstLine="0" w:firstLineChars="0"/>
              <w:jc w:val="center"/>
              <w:rPr>
                <w:szCs w:val="22"/>
              </w:rPr>
            </w:pPr>
            <w:r>
              <w:rPr>
                <w:szCs w:val="22"/>
              </w:rPr>
              <w:t>运营期环境影响和保护措施</w:t>
            </w:r>
          </w:p>
        </w:tc>
        <w:tc>
          <w:tcPr>
            <w:tcW w:w="4775" w:type="pct"/>
            <w:vAlign w:val="center"/>
          </w:tcPr>
          <w:p w14:paraId="5BC60E4A">
            <w:pPr>
              <w:spacing w:before="120" w:beforeLines="50" w:line="240" w:lineRule="auto"/>
              <w:ind w:firstLine="0" w:firstLineChars="0"/>
              <w:jc w:val="center"/>
              <w:rPr>
                <w:b/>
                <w:bCs/>
              </w:rPr>
            </w:pPr>
            <w:r>
              <w:rPr>
                <w:rFonts w:hint="eastAsia"/>
                <w:b/>
                <w:bCs/>
              </w:rPr>
              <w:t>表4.2-1  生产工序废气有组织产排情况一览表</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558"/>
              <w:gridCol w:w="1010"/>
              <w:gridCol w:w="1276"/>
              <w:gridCol w:w="1013"/>
              <w:gridCol w:w="845"/>
              <w:gridCol w:w="625"/>
              <w:gridCol w:w="1487"/>
              <w:gridCol w:w="817"/>
              <w:gridCol w:w="811"/>
              <w:gridCol w:w="757"/>
              <w:gridCol w:w="1078"/>
              <w:gridCol w:w="1112"/>
              <w:gridCol w:w="959"/>
              <w:gridCol w:w="1697"/>
              <w:gridCol w:w="1169"/>
              <w:gridCol w:w="2059"/>
              <w:gridCol w:w="1021"/>
              <w:gridCol w:w="1210"/>
            </w:tblGrid>
            <w:tr w14:paraId="33680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0" w:type="auto"/>
                  <w:gridSpan w:val="2"/>
                  <w:vMerge w:val="restart"/>
                  <w:tcBorders>
                    <w:tl2br w:val="nil"/>
                    <w:tr2bl w:val="nil"/>
                  </w:tcBorders>
                  <w:vAlign w:val="center"/>
                </w:tcPr>
                <w:p w14:paraId="19829988">
                  <w:pPr>
                    <w:spacing w:line="340" w:lineRule="exact"/>
                    <w:ind w:firstLine="0" w:firstLineChars="0"/>
                    <w:jc w:val="center"/>
                    <w:rPr>
                      <w:b/>
                      <w:bCs/>
                      <w:sz w:val="21"/>
                      <w:szCs w:val="21"/>
                      <w:lang w:eastAsia="en-US" w:bidi="ar"/>
                    </w:rPr>
                  </w:pPr>
                  <w:r>
                    <w:rPr>
                      <w:rFonts w:hint="eastAsia"/>
                      <w:b/>
                      <w:bCs/>
                      <w:sz w:val="21"/>
                      <w:szCs w:val="21"/>
                      <w:lang w:bidi="ar"/>
                    </w:rPr>
                    <w:t>污染源/污染因子</w:t>
                  </w:r>
                </w:p>
              </w:tc>
              <w:tc>
                <w:tcPr>
                  <w:tcW w:w="0" w:type="auto"/>
                  <w:vMerge w:val="restart"/>
                  <w:tcBorders>
                    <w:tl2br w:val="nil"/>
                    <w:tr2bl w:val="nil"/>
                  </w:tcBorders>
                  <w:vAlign w:val="center"/>
                </w:tcPr>
                <w:p w14:paraId="33E18E2E">
                  <w:pPr>
                    <w:spacing w:line="340" w:lineRule="exact"/>
                    <w:ind w:firstLine="0" w:firstLineChars="0"/>
                    <w:jc w:val="center"/>
                    <w:rPr>
                      <w:b/>
                      <w:bCs/>
                      <w:sz w:val="21"/>
                      <w:szCs w:val="21"/>
                      <w:lang w:bidi="ar"/>
                    </w:rPr>
                  </w:pPr>
                  <w:r>
                    <w:rPr>
                      <w:rFonts w:hint="eastAsia"/>
                      <w:b/>
                      <w:bCs/>
                      <w:sz w:val="21"/>
                      <w:szCs w:val="21"/>
                      <w:lang w:bidi="ar"/>
                    </w:rPr>
                    <w:t>风机风量/m</w:t>
                  </w:r>
                  <w:r>
                    <w:rPr>
                      <w:rFonts w:hint="eastAsia"/>
                      <w:b/>
                      <w:bCs/>
                      <w:sz w:val="21"/>
                      <w:szCs w:val="21"/>
                      <w:vertAlign w:val="superscript"/>
                      <w:lang w:bidi="ar"/>
                    </w:rPr>
                    <w:t>3</w:t>
                  </w:r>
                  <w:r>
                    <w:rPr>
                      <w:rFonts w:hint="eastAsia"/>
                      <w:b/>
                      <w:bCs/>
                      <w:sz w:val="21"/>
                      <w:szCs w:val="21"/>
                      <w:lang w:bidi="ar"/>
                    </w:rPr>
                    <w:t>/h</w:t>
                  </w:r>
                </w:p>
              </w:tc>
              <w:tc>
                <w:tcPr>
                  <w:tcW w:w="0" w:type="auto"/>
                  <w:gridSpan w:val="3"/>
                  <w:tcBorders>
                    <w:tl2br w:val="nil"/>
                    <w:tr2bl w:val="nil"/>
                  </w:tcBorders>
                  <w:vAlign w:val="center"/>
                </w:tcPr>
                <w:p w14:paraId="75B7C948">
                  <w:pPr>
                    <w:spacing w:line="340" w:lineRule="exact"/>
                    <w:ind w:firstLine="0" w:firstLineChars="0"/>
                    <w:jc w:val="center"/>
                    <w:rPr>
                      <w:b/>
                      <w:bCs/>
                      <w:sz w:val="21"/>
                      <w:szCs w:val="21"/>
                      <w:lang w:bidi="ar"/>
                    </w:rPr>
                  </w:pPr>
                  <w:r>
                    <w:rPr>
                      <w:rFonts w:hint="eastAsia"/>
                      <w:b/>
                      <w:bCs/>
                      <w:sz w:val="21"/>
                      <w:szCs w:val="21"/>
                      <w:lang w:bidi="ar"/>
                    </w:rPr>
                    <w:t>污染源产生</w:t>
                  </w:r>
                </w:p>
              </w:tc>
              <w:tc>
                <w:tcPr>
                  <w:tcW w:w="0" w:type="auto"/>
                  <w:vMerge w:val="restart"/>
                  <w:tcBorders>
                    <w:tl2br w:val="nil"/>
                    <w:tr2bl w:val="nil"/>
                  </w:tcBorders>
                  <w:vAlign w:val="center"/>
                </w:tcPr>
                <w:p w14:paraId="10905F97">
                  <w:pPr>
                    <w:spacing w:line="340" w:lineRule="exact"/>
                    <w:ind w:firstLine="0" w:firstLineChars="0"/>
                    <w:jc w:val="center"/>
                    <w:rPr>
                      <w:b/>
                      <w:bCs/>
                      <w:sz w:val="21"/>
                      <w:szCs w:val="21"/>
                      <w:lang w:bidi="ar"/>
                    </w:rPr>
                  </w:pPr>
                  <w:r>
                    <w:rPr>
                      <w:rFonts w:hint="eastAsia"/>
                      <w:b/>
                      <w:bCs/>
                      <w:sz w:val="21"/>
                      <w:szCs w:val="21"/>
                      <w:lang w:bidi="ar"/>
                    </w:rPr>
                    <w:t>排放方式</w:t>
                  </w:r>
                </w:p>
              </w:tc>
              <w:tc>
                <w:tcPr>
                  <w:tcW w:w="0" w:type="auto"/>
                  <w:gridSpan w:val="4"/>
                  <w:tcBorders>
                    <w:tl2br w:val="nil"/>
                    <w:tr2bl w:val="nil"/>
                  </w:tcBorders>
                  <w:vAlign w:val="center"/>
                </w:tcPr>
                <w:p w14:paraId="718B8281">
                  <w:pPr>
                    <w:spacing w:line="340" w:lineRule="exact"/>
                    <w:ind w:firstLine="0" w:firstLineChars="0"/>
                    <w:jc w:val="center"/>
                    <w:rPr>
                      <w:b/>
                      <w:bCs/>
                      <w:sz w:val="21"/>
                      <w:szCs w:val="21"/>
                      <w:lang w:bidi="ar"/>
                    </w:rPr>
                  </w:pPr>
                  <w:r>
                    <w:rPr>
                      <w:rFonts w:hint="eastAsia"/>
                      <w:b/>
                      <w:bCs/>
                      <w:sz w:val="21"/>
                      <w:szCs w:val="21"/>
                      <w:lang w:bidi="ar"/>
                    </w:rPr>
                    <w:t>治理措施</w:t>
                  </w:r>
                </w:p>
              </w:tc>
              <w:tc>
                <w:tcPr>
                  <w:tcW w:w="0" w:type="auto"/>
                  <w:gridSpan w:val="3"/>
                  <w:tcBorders>
                    <w:tl2br w:val="nil"/>
                    <w:tr2bl w:val="nil"/>
                  </w:tcBorders>
                  <w:vAlign w:val="center"/>
                </w:tcPr>
                <w:p w14:paraId="25027388">
                  <w:pPr>
                    <w:spacing w:line="340" w:lineRule="exact"/>
                    <w:ind w:firstLine="0" w:firstLineChars="0"/>
                    <w:jc w:val="center"/>
                    <w:rPr>
                      <w:b/>
                      <w:bCs/>
                      <w:sz w:val="21"/>
                      <w:szCs w:val="21"/>
                      <w:lang w:bidi="ar"/>
                    </w:rPr>
                  </w:pPr>
                  <w:r>
                    <w:rPr>
                      <w:rFonts w:hint="eastAsia"/>
                      <w:b/>
                      <w:bCs/>
                      <w:sz w:val="21"/>
                      <w:szCs w:val="21"/>
                      <w:lang w:bidi="ar"/>
                    </w:rPr>
                    <w:t>污染物排放</w:t>
                  </w:r>
                </w:p>
              </w:tc>
              <w:tc>
                <w:tcPr>
                  <w:tcW w:w="0" w:type="auto"/>
                  <w:gridSpan w:val="3"/>
                  <w:tcBorders>
                    <w:tl2br w:val="nil"/>
                    <w:tr2bl w:val="nil"/>
                  </w:tcBorders>
                  <w:vAlign w:val="center"/>
                </w:tcPr>
                <w:p w14:paraId="5AB7F7A0">
                  <w:pPr>
                    <w:spacing w:line="340" w:lineRule="exact"/>
                    <w:ind w:firstLine="0" w:firstLineChars="0"/>
                    <w:jc w:val="center"/>
                    <w:rPr>
                      <w:b/>
                      <w:bCs/>
                      <w:sz w:val="21"/>
                      <w:szCs w:val="21"/>
                      <w:lang w:bidi="ar"/>
                    </w:rPr>
                  </w:pPr>
                  <w:r>
                    <w:rPr>
                      <w:rFonts w:hint="eastAsia"/>
                      <w:b/>
                      <w:bCs/>
                      <w:sz w:val="21"/>
                      <w:szCs w:val="21"/>
                      <w:lang w:bidi="ar"/>
                    </w:rPr>
                    <w:t>排放口基本信息</w:t>
                  </w:r>
                </w:p>
              </w:tc>
              <w:tc>
                <w:tcPr>
                  <w:tcW w:w="0" w:type="auto"/>
                  <w:vMerge w:val="restart"/>
                  <w:tcBorders>
                    <w:tl2br w:val="nil"/>
                    <w:tr2bl w:val="nil"/>
                  </w:tcBorders>
                  <w:vAlign w:val="center"/>
                </w:tcPr>
                <w:p w14:paraId="64220494">
                  <w:pPr>
                    <w:spacing w:line="340" w:lineRule="exact"/>
                    <w:ind w:firstLine="0" w:firstLineChars="0"/>
                    <w:jc w:val="center"/>
                    <w:rPr>
                      <w:b/>
                      <w:bCs/>
                      <w:sz w:val="21"/>
                      <w:szCs w:val="21"/>
                      <w:lang w:bidi="ar"/>
                    </w:rPr>
                  </w:pPr>
                  <w:r>
                    <w:rPr>
                      <w:rFonts w:hint="eastAsia"/>
                      <w:b w:val="0"/>
                      <w:bCs w:val="0"/>
                      <w:sz w:val="21"/>
                      <w:szCs w:val="21"/>
                      <w:lang w:eastAsia="en-US" w:bidi="ar"/>
                    </w:rPr>
                    <w:t>排放时间</w:t>
                  </w:r>
                  <w:r>
                    <w:rPr>
                      <w:rFonts w:hint="eastAsia"/>
                      <w:b w:val="0"/>
                      <w:bCs w:val="0"/>
                      <w:sz w:val="21"/>
                      <w:szCs w:val="21"/>
                      <w:lang w:val="en-US" w:eastAsia="zh-CN" w:bidi="ar"/>
                    </w:rPr>
                    <w:t>2400</w:t>
                  </w:r>
                  <w:r>
                    <w:rPr>
                      <w:rFonts w:hint="eastAsia"/>
                      <w:b w:val="0"/>
                      <w:bCs w:val="0"/>
                      <w:sz w:val="21"/>
                      <w:szCs w:val="21"/>
                      <w:lang w:eastAsia="en-US" w:bidi="ar"/>
                    </w:rPr>
                    <w:t>h</w:t>
                  </w:r>
                </w:p>
              </w:tc>
              <w:tc>
                <w:tcPr>
                  <w:tcW w:w="0" w:type="auto"/>
                  <w:vMerge w:val="restart"/>
                  <w:tcBorders>
                    <w:tl2br w:val="nil"/>
                    <w:tr2bl w:val="nil"/>
                  </w:tcBorders>
                  <w:vAlign w:val="center"/>
                </w:tcPr>
                <w:p w14:paraId="277B75C4">
                  <w:pPr>
                    <w:spacing w:line="340" w:lineRule="exact"/>
                    <w:ind w:firstLine="0" w:firstLineChars="0"/>
                    <w:jc w:val="center"/>
                    <w:rPr>
                      <w:b/>
                      <w:bCs/>
                      <w:sz w:val="21"/>
                      <w:szCs w:val="21"/>
                      <w:lang w:bidi="ar"/>
                    </w:rPr>
                  </w:pPr>
                  <w:r>
                    <w:rPr>
                      <w:rFonts w:hint="eastAsia"/>
                      <w:b/>
                      <w:bCs/>
                      <w:sz w:val="21"/>
                      <w:szCs w:val="21"/>
                      <w:lang w:bidi="ar"/>
                    </w:rPr>
                    <w:t>允许排放浓度mg/m</w:t>
                  </w:r>
                  <w:r>
                    <w:rPr>
                      <w:rFonts w:hint="eastAsia"/>
                      <w:b/>
                      <w:bCs/>
                      <w:sz w:val="21"/>
                      <w:szCs w:val="21"/>
                      <w:vertAlign w:val="superscript"/>
                      <w:lang w:bidi="ar"/>
                    </w:rPr>
                    <w:t>3</w:t>
                  </w:r>
                </w:p>
              </w:tc>
            </w:tr>
            <w:tr w14:paraId="1FB7B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7" w:hRule="atLeast"/>
              </w:trPr>
              <w:tc>
                <w:tcPr>
                  <w:tcW w:w="0" w:type="auto"/>
                  <w:gridSpan w:val="2"/>
                  <w:vMerge w:val="continue"/>
                  <w:tcBorders>
                    <w:tl2br w:val="nil"/>
                    <w:tr2bl w:val="nil"/>
                  </w:tcBorders>
                  <w:vAlign w:val="center"/>
                </w:tcPr>
                <w:p w14:paraId="32D632E0">
                  <w:pPr>
                    <w:spacing w:line="340" w:lineRule="exact"/>
                    <w:ind w:firstLine="0" w:firstLineChars="0"/>
                    <w:jc w:val="center"/>
                    <w:rPr>
                      <w:b/>
                      <w:bCs/>
                      <w:sz w:val="21"/>
                      <w:szCs w:val="21"/>
                      <w:lang w:bidi="ar"/>
                    </w:rPr>
                  </w:pPr>
                </w:p>
              </w:tc>
              <w:tc>
                <w:tcPr>
                  <w:tcW w:w="0" w:type="auto"/>
                  <w:vMerge w:val="continue"/>
                  <w:tcBorders>
                    <w:tl2br w:val="nil"/>
                    <w:tr2bl w:val="nil"/>
                  </w:tcBorders>
                  <w:vAlign w:val="center"/>
                </w:tcPr>
                <w:p w14:paraId="31AAD84B">
                  <w:pPr>
                    <w:spacing w:line="340" w:lineRule="exact"/>
                    <w:ind w:firstLine="0" w:firstLineChars="0"/>
                    <w:jc w:val="center"/>
                    <w:rPr>
                      <w:b/>
                      <w:bCs/>
                      <w:sz w:val="21"/>
                      <w:szCs w:val="21"/>
                      <w:lang w:bidi="ar"/>
                    </w:rPr>
                  </w:pPr>
                </w:p>
              </w:tc>
              <w:tc>
                <w:tcPr>
                  <w:tcW w:w="1276" w:type="dxa"/>
                  <w:tcBorders>
                    <w:tl2br w:val="nil"/>
                    <w:tr2bl w:val="nil"/>
                  </w:tcBorders>
                  <w:vAlign w:val="center"/>
                </w:tcPr>
                <w:p w14:paraId="14992F25">
                  <w:pPr>
                    <w:spacing w:line="340" w:lineRule="exact"/>
                    <w:ind w:firstLine="0" w:firstLineChars="0"/>
                    <w:jc w:val="center"/>
                    <w:rPr>
                      <w:b/>
                      <w:bCs/>
                      <w:sz w:val="21"/>
                      <w:szCs w:val="21"/>
                      <w:lang w:eastAsia="en-US" w:bidi="ar"/>
                    </w:rPr>
                  </w:pPr>
                  <w:r>
                    <w:rPr>
                      <w:rFonts w:hint="eastAsia"/>
                      <w:b/>
                      <w:bCs/>
                      <w:sz w:val="21"/>
                      <w:szCs w:val="21"/>
                      <w:lang w:bidi="ar"/>
                    </w:rPr>
                    <w:t>产生浓度/mg/m</w:t>
                  </w:r>
                  <w:r>
                    <w:rPr>
                      <w:rFonts w:hint="eastAsia"/>
                      <w:b/>
                      <w:bCs/>
                      <w:sz w:val="21"/>
                      <w:szCs w:val="21"/>
                      <w:vertAlign w:val="superscript"/>
                      <w:lang w:bidi="ar"/>
                    </w:rPr>
                    <w:t>3</w:t>
                  </w:r>
                </w:p>
              </w:tc>
              <w:tc>
                <w:tcPr>
                  <w:tcW w:w="1013" w:type="dxa"/>
                  <w:tcBorders>
                    <w:tl2br w:val="nil"/>
                    <w:tr2bl w:val="nil"/>
                  </w:tcBorders>
                  <w:vAlign w:val="center"/>
                </w:tcPr>
                <w:p w14:paraId="092D221A">
                  <w:pPr>
                    <w:spacing w:line="340" w:lineRule="exact"/>
                    <w:ind w:firstLine="0" w:firstLineChars="0"/>
                    <w:jc w:val="center"/>
                    <w:rPr>
                      <w:b/>
                      <w:bCs/>
                      <w:sz w:val="21"/>
                      <w:szCs w:val="21"/>
                      <w:lang w:eastAsia="en-US" w:bidi="ar"/>
                    </w:rPr>
                  </w:pPr>
                  <w:r>
                    <w:rPr>
                      <w:rFonts w:hint="eastAsia"/>
                      <w:b/>
                      <w:bCs/>
                      <w:sz w:val="21"/>
                      <w:szCs w:val="21"/>
                      <w:lang w:bidi="ar"/>
                    </w:rPr>
                    <w:t>产生速率kg/h</w:t>
                  </w:r>
                </w:p>
              </w:tc>
              <w:tc>
                <w:tcPr>
                  <w:tcW w:w="0" w:type="auto"/>
                  <w:tcBorders>
                    <w:tl2br w:val="nil"/>
                    <w:tr2bl w:val="nil"/>
                  </w:tcBorders>
                  <w:vAlign w:val="center"/>
                </w:tcPr>
                <w:p w14:paraId="72CA3492">
                  <w:pPr>
                    <w:spacing w:line="340" w:lineRule="exact"/>
                    <w:ind w:firstLine="0" w:firstLineChars="0"/>
                    <w:jc w:val="center"/>
                    <w:rPr>
                      <w:b/>
                      <w:bCs/>
                      <w:sz w:val="21"/>
                      <w:szCs w:val="21"/>
                      <w:lang w:eastAsia="en-US" w:bidi="ar"/>
                    </w:rPr>
                  </w:pPr>
                  <w:r>
                    <w:rPr>
                      <w:rFonts w:hint="eastAsia"/>
                      <w:b/>
                      <w:bCs/>
                      <w:sz w:val="21"/>
                      <w:szCs w:val="21"/>
                      <w:lang w:bidi="ar"/>
                    </w:rPr>
                    <w:t>产生量 t/a</w:t>
                  </w:r>
                </w:p>
              </w:tc>
              <w:tc>
                <w:tcPr>
                  <w:tcW w:w="0" w:type="auto"/>
                  <w:vMerge w:val="continue"/>
                  <w:tcBorders>
                    <w:tl2br w:val="nil"/>
                    <w:tr2bl w:val="nil"/>
                  </w:tcBorders>
                  <w:vAlign w:val="center"/>
                </w:tcPr>
                <w:p w14:paraId="1526838E">
                  <w:pPr>
                    <w:spacing w:line="340" w:lineRule="exact"/>
                    <w:ind w:firstLine="0" w:firstLineChars="0"/>
                    <w:jc w:val="center"/>
                    <w:rPr>
                      <w:b/>
                      <w:bCs/>
                      <w:sz w:val="21"/>
                      <w:szCs w:val="21"/>
                      <w:lang w:bidi="ar"/>
                    </w:rPr>
                  </w:pPr>
                </w:p>
              </w:tc>
              <w:tc>
                <w:tcPr>
                  <w:tcW w:w="0" w:type="auto"/>
                  <w:tcBorders>
                    <w:tl2br w:val="nil"/>
                    <w:tr2bl w:val="nil"/>
                  </w:tcBorders>
                  <w:vAlign w:val="center"/>
                </w:tcPr>
                <w:p w14:paraId="7DD71E5B">
                  <w:pPr>
                    <w:spacing w:line="340" w:lineRule="exact"/>
                    <w:ind w:firstLine="0" w:firstLineChars="0"/>
                    <w:jc w:val="center"/>
                    <w:rPr>
                      <w:b/>
                      <w:bCs/>
                      <w:sz w:val="21"/>
                      <w:szCs w:val="21"/>
                      <w:lang w:bidi="ar"/>
                    </w:rPr>
                  </w:pPr>
                  <w:r>
                    <w:rPr>
                      <w:rFonts w:hint="eastAsia"/>
                      <w:b/>
                      <w:bCs/>
                      <w:sz w:val="21"/>
                      <w:szCs w:val="21"/>
                      <w:lang w:bidi="ar"/>
                    </w:rPr>
                    <w:t>处理工艺</w:t>
                  </w:r>
                </w:p>
              </w:tc>
              <w:tc>
                <w:tcPr>
                  <w:tcW w:w="0" w:type="auto"/>
                  <w:tcBorders>
                    <w:tl2br w:val="nil"/>
                    <w:tr2bl w:val="nil"/>
                  </w:tcBorders>
                  <w:vAlign w:val="center"/>
                </w:tcPr>
                <w:p w14:paraId="392E8DF8">
                  <w:pPr>
                    <w:spacing w:line="340" w:lineRule="exact"/>
                    <w:ind w:firstLine="0" w:firstLineChars="0"/>
                    <w:jc w:val="center"/>
                    <w:rPr>
                      <w:b/>
                      <w:bCs/>
                      <w:sz w:val="21"/>
                      <w:szCs w:val="21"/>
                      <w:lang w:eastAsia="en-US" w:bidi="ar"/>
                    </w:rPr>
                  </w:pPr>
                  <w:r>
                    <w:rPr>
                      <w:rFonts w:hint="eastAsia"/>
                      <w:b/>
                      <w:bCs/>
                      <w:sz w:val="21"/>
                      <w:szCs w:val="21"/>
                      <w:lang w:bidi="ar"/>
                    </w:rPr>
                    <w:t>收集效率</w:t>
                  </w:r>
                </w:p>
              </w:tc>
              <w:tc>
                <w:tcPr>
                  <w:tcW w:w="0" w:type="auto"/>
                  <w:tcBorders>
                    <w:tl2br w:val="nil"/>
                    <w:tr2bl w:val="nil"/>
                  </w:tcBorders>
                  <w:vAlign w:val="center"/>
                </w:tcPr>
                <w:p w14:paraId="550629A2">
                  <w:pPr>
                    <w:spacing w:line="340" w:lineRule="exact"/>
                    <w:ind w:firstLine="0" w:firstLineChars="0"/>
                    <w:jc w:val="center"/>
                    <w:rPr>
                      <w:b/>
                      <w:bCs/>
                      <w:sz w:val="21"/>
                      <w:szCs w:val="21"/>
                      <w:lang w:eastAsia="en-US" w:bidi="ar"/>
                    </w:rPr>
                  </w:pPr>
                  <w:r>
                    <w:rPr>
                      <w:rFonts w:hint="eastAsia"/>
                      <w:b/>
                      <w:bCs/>
                      <w:sz w:val="21"/>
                      <w:szCs w:val="21"/>
                      <w:lang w:bidi="ar"/>
                    </w:rPr>
                    <w:t>工艺去除率</w:t>
                  </w:r>
                </w:p>
              </w:tc>
              <w:tc>
                <w:tcPr>
                  <w:tcW w:w="0" w:type="auto"/>
                  <w:tcBorders>
                    <w:tl2br w:val="nil"/>
                    <w:tr2bl w:val="nil"/>
                  </w:tcBorders>
                  <w:vAlign w:val="center"/>
                </w:tcPr>
                <w:p w14:paraId="1A2FD4F3">
                  <w:pPr>
                    <w:spacing w:line="340" w:lineRule="exact"/>
                    <w:ind w:firstLine="0" w:firstLineChars="0"/>
                    <w:jc w:val="center"/>
                    <w:rPr>
                      <w:b/>
                      <w:bCs/>
                      <w:sz w:val="21"/>
                      <w:szCs w:val="21"/>
                      <w:lang w:eastAsia="en-US" w:bidi="ar"/>
                    </w:rPr>
                  </w:pPr>
                  <w:r>
                    <w:rPr>
                      <w:rFonts w:hint="eastAsia"/>
                      <w:b/>
                      <w:bCs/>
                      <w:sz w:val="21"/>
                      <w:szCs w:val="21"/>
                      <w:lang w:bidi="ar"/>
                    </w:rPr>
                    <w:t>是否可行技术</w:t>
                  </w:r>
                </w:p>
              </w:tc>
              <w:tc>
                <w:tcPr>
                  <w:tcW w:w="0" w:type="auto"/>
                  <w:tcBorders>
                    <w:tl2br w:val="nil"/>
                    <w:tr2bl w:val="nil"/>
                  </w:tcBorders>
                  <w:vAlign w:val="center"/>
                </w:tcPr>
                <w:p w14:paraId="6CDDE9D3">
                  <w:pPr>
                    <w:spacing w:line="340" w:lineRule="exact"/>
                    <w:ind w:firstLine="0" w:firstLineChars="0"/>
                    <w:jc w:val="center"/>
                    <w:rPr>
                      <w:b/>
                      <w:bCs/>
                      <w:sz w:val="21"/>
                      <w:szCs w:val="21"/>
                      <w:lang w:eastAsia="en-US" w:bidi="ar"/>
                    </w:rPr>
                  </w:pPr>
                  <w:r>
                    <w:rPr>
                      <w:rFonts w:hint="eastAsia"/>
                      <w:b/>
                      <w:bCs/>
                      <w:sz w:val="21"/>
                      <w:szCs w:val="21"/>
                      <w:lang w:bidi="ar"/>
                    </w:rPr>
                    <w:t>排放浓度mg/m</w:t>
                  </w:r>
                  <w:r>
                    <w:rPr>
                      <w:rFonts w:hint="eastAsia"/>
                      <w:b/>
                      <w:bCs/>
                      <w:sz w:val="21"/>
                      <w:szCs w:val="21"/>
                      <w:vertAlign w:val="superscript"/>
                      <w:lang w:bidi="ar"/>
                    </w:rPr>
                    <w:t>3</w:t>
                  </w:r>
                </w:p>
              </w:tc>
              <w:tc>
                <w:tcPr>
                  <w:tcW w:w="0" w:type="auto"/>
                  <w:tcBorders>
                    <w:tl2br w:val="nil"/>
                    <w:tr2bl w:val="nil"/>
                  </w:tcBorders>
                  <w:vAlign w:val="center"/>
                </w:tcPr>
                <w:p w14:paraId="0BDA97C4">
                  <w:pPr>
                    <w:spacing w:line="340" w:lineRule="exact"/>
                    <w:ind w:firstLine="0" w:firstLineChars="0"/>
                    <w:jc w:val="center"/>
                    <w:rPr>
                      <w:b/>
                      <w:bCs/>
                      <w:sz w:val="21"/>
                      <w:szCs w:val="21"/>
                      <w:lang w:eastAsia="en-US" w:bidi="ar"/>
                    </w:rPr>
                  </w:pPr>
                  <w:r>
                    <w:rPr>
                      <w:rFonts w:hint="eastAsia"/>
                      <w:b/>
                      <w:bCs/>
                      <w:sz w:val="21"/>
                      <w:szCs w:val="21"/>
                      <w:lang w:bidi="ar"/>
                    </w:rPr>
                    <w:t>排放速率 kg/h</w:t>
                  </w:r>
                </w:p>
              </w:tc>
              <w:tc>
                <w:tcPr>
                  <w:tcW w:w="0" w:type="auto"/>
                  <w:tcBorders>
                    <w:tl2br w:val="nil"/>
                    <w:tr2bl w:val="nil"/>
                  </w:tcBorders>
                  <w:vAlign w:val="center"/>
                </w:tcPr>
                <w:p w14:paraId="2F9A21B5">
                  <w:pPr>
                    <w:spacing w:line="340" w:lineRule="exact"/>
                    <w:ind w:firstLine="0" w:firstLineChars="0"/>
                    <w:jc w:val="center"/>
                    <w:rPr>
                      <w:b/>
                      <w:bCs/>
                      <w:sz w:val="21"/>
                      <w:szCs w:val="21"/>
                      <w:lang w:eastAsia="en-US" w:bidi="ar"/>
                    </w:rPr>
                  </w:pPr>
                  <w:r>
                    <w:rPr>
                      <w:rFonts w:hint="eastAsia"/>
                      <w:b/>
                      <w:bCs/>
                      <w:sz w:val="21"/>
                      <w:szCs w:val="21"/>
                      <w:lang w:bidi="ar"/>
                    </w:rPr>
                    <w:t>排放量t/a</w:t>
                  </w:r>
                </w:p>
              </w:tc>
              <w:tc>
                <w:tcPr>
                  <w:tcW w:w="0" w:type="auto"/>
                  <w:tcBorders>
                    <w:tl2br w:val="nil"/>
                    <w:tr2bl w:val="nil"/>
                  </w:tcBorders>
                  <w:vAlign w:val="center"/>
                </w:tcPr>
                <w:p w14:paraId="274D0222">
                  <w:pPr>
                    <w:spacing w:line="340" w:lineRule="exact"/>
                    <w:ind w:firstLine="0" w:firstLineChars="0"/>
                    <w:jc w:val="center"/>
                    <w:rPr>
                      <w:b/>
                      <w:bCs/>
                      <w:sz w:val="21"/>
                      <w:szCs w:val="21"/>
                      <w:lang w:bidi="ar"/>
                    </w:rPr>
                  </w:pPr>
                  <w:r>
                    <w:rPr>
                      <w:rFonts w:hint="eastAsia"/>
                      <w:b/>
                      <w:bCs/>
                      <w:sz w:val="21"/>
                      <w:szCs w:val="21"/>
                      <w:lang w:bidi="ar"/>
                    </w:rPr>
                    <w:t>排气筒内径、高度、温度</w:t>
                  </w:r>
                </w:p>
              </w:tc>
              <w:tc>
                <w:tcPr>
                  <w:tcW w:w="0" w:type="auto"/>
                  <w:tcBorders>
                    <w:tl2br w:val="nil"/>
                    <w:tr2bl w:val="nil"/>
                  </w:tcBorders>
                  <w:vAlign w:val="center"/>
                </w:tcPr>
                <w:p w14:paraId="6770FD48">
                  <w:pPr>
                    <w:spacing w:line="340" w:lineRule="exact"/>
                    <w:ind w:firstLine="0" w:firstLineChars="0"/>
                    <w:jc w:val="center"/>
                    <w:rPr>
                      <w:b/>
                      <w:bCs/>
                      <w:sz w:val="21"/>
                      <w:szCs w:val="21"/>
                      <w:lang w:bidi="ar"/>
                    </w:rPr>
                  </w:pPr>
                  <w:r>
                    <w:rPr>
                      <w:rFonts w:hint="eastAsia"/>
                      <w:b/>
                      <w:bCs/>
                      <w:sz w:val="21"/>
                      <w:szCs w:val="21"/>
                      <w:lang w:bidi="ar"/>
                    </w:rPr>
                    <w:t>编号及名称、类型</w:t>
                  </w:r>
                </w:p>
              </w:tc>
              <w:tc>
                <w:tcPr>
                  <w:tcW w:w="0" w:type="auto"/>
                  <w:tcBorders>
                    <w:tl2br w:val="nil"/>
                    <w:tr2bl w:val="nil"/>
                  </w:tcBorders>
                  <w:vAlign w:val="center"/>
                </w:tcPr>
                <w:p w14:paraId="34363DC4">
                  <w:pPr>
                    <w:spacing w:line="340" w:lineRule="exact"/>
                    <w:ind w:firstLine="0" w:firstLineChars="0"/>
                    <w:jc w:val="center"/>
                    <w:rPr>
                      <w:b/>
                      <w:bCs/>
                      <w:sz w:val="21"/>
                      <w:szCs w:val="21"/>
                      <w:lang w:bidi="ar"/>
                    </w:rPr>
                  </w:pPr>
                  <w:r>
                    <w:rPr>
                      <w:rFonts w:hint="eastAsia"/>
                      <w:b/>
                      <w:bCs/>
                      <w:sz w:val="21"/>
                      <w:szCs w:val="21"/>
                      <w:lang w:bidi="ar"/>
                    </w:rPr>
                    <w:t>地理坐标</w:t>
                  </w:r>
                </w:p>
              </w:tc>
              <w:tc>
                <w:tcPr>
                  <w:tcW w:w="0" w:type="auto"/>
                  <w:vMerge w:val="continue"/>
                  <w:tcBorders>
                    <w:tl2br w:val="nil"/>
                    <w:tr2bl w:val="nil"/>
                  </w:tcBorders>
                  <w:vAlign w:val="center"/>
                </w:tcPr>
                <w:p w14:paraId="030F1970">
                  <w:pPr>
                    <w:spacing w:line="340" w:lineRule="exact"/>
                    <w:ind w:firstLine="0" w:firstLineChars="0"/>
                    <w:jc w:val="center"/>
                    <w:rPr>
                      <w:b/>
                      <w:bCs/>
                      <w:sz w:val="21"/>
                      <w:szCs w:val="21"/>
                      <w:lang w:bidi="ar"/>
                    </w:rPr>
                  </w:pPr>
                </w:p>
              </w:tc>
              <w:tc>
                <w:tcPr>
                  <w:tcW w:w="0" w:type="auto"/>
                  <w:vMerge w:val="continue"/>
                  <w:tcBorders>
                    <w:tl2br w:val="nil"/>
                    <w:tr2bl w:val="nil"/>
                  </w:tcBorders>
                  <w:vAlign w:val="center"/>
                </w:tcPr>
                <w:p w14:paraId="03AAD36D">
                  <w:pPr>
                    <w:spacing w:line="340" w:lineRule="exact"/>
                    <w:ind w:firstLine="0" w:firstLineChars="0"/>
                    <w:jc w:val="center"/>
                    <w:rPr>
                      <w:b/>
                      <w:bCs/>
                      <w:sz w:val="21"/>
                      <w:szCs w:val="21"/>
                      <w:lang w:bidi="ar"/>
                    </w:rPr>
                  </w:pPr>
                </w:p>
              </w:tc>
            </w:tr>
            <w:tr w14:paraId="654CE7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0" w:type="auto"/>
                  <w:tcBorders>
                    <w:tl2br w:val="nil"/>
                    <w:tr2bl w:val="nil"/>
                  </w:tcBorders>
                  <w:vAlign w:val="center"/>
                </w:tcPr>
                <w:p w14:paraId="34E715FC">
                  <w:pPr>
                    <w:spacing w:line="340" w:lineRule="exact"/>
                    <w:ind w:firstLine="0" w:firstLineChars="0"/>
                    <w:jc w:val="center"/>
                    <w:rPr>
                      <w:bCs/>
                      <w:sz w:val="21"/>
                      <w:szCs w:val="21"/>
                    </w:rPr>
                  </w:pPr>
                  <w:r>
                    <w:rPr>
                      <w:rFonts w:hint="eastAsia"/>
                      <w:sz w:val="21"/>
                      <w:szCs w:val="21"/>
                    </w:rPr>
                    <w:t>原料储存罐呼吸粉尘</w:t>
                  </w:r>
                </w:p>
              </w:tc>
              <w:tc>
                <w:tcPr>
                  <w:tcW w:w="0" w:type="auto"/>
                  <w:vMerge w:val="restart"/>
                  <w:tcBorders>
                    <w:tl2br w:val="nil"/>
                    <w:tr2bl w:val="nil"/>
                  </w:tcBorders>
                  <w:vAlign w:val="center"/>
                </w:tcPr>
                <w:p w14:paraId="10C2AF0A">
                  <w:pPr>
                    <w:spacing w:line="340" w:lineRule="exact"/>
                    <w:ind w:firstLine="0" w:firstLineChars="0"/>
                    <w:jc w:val="center"/>
                    <w:rPr>
                      <w:sz w:val="21"/>
                      <w:szCs w:val="21"/>
                      <w:lang w:bidi="ar"/>
                    </w:rPr>
                  </w:pPr>
                </w:p>
              </w:tc>
              <w:tc>
                <w:tcPr>
                  <w:tcW w:w="0" w:type="auto"/>
                  <w:tcBorders>
                    <w:tl2br w:val="nil"/>
                    <w:tr2bl w:val="nil"/>
                  </w:tcBorders>
                  <w:vAlign w:val="center"/>
                </w:tcPr>
                <w:p w14:paraId="41D070B5">
                  <w:pPr>
                    <w:spacing w:line="340" w:lineRule="exact"/>
                    <w:ind w:firstLine="0" w:firstLineChars="0"/>
                    <w:jc w:val="center"/>
                    <w:rPr>
                      <w:sz w:val="21"/>
                      <w:szCs w:val="21"/>
                      <w:lang w:bidi="ar"/>
                    </w:rPr>
                  </w:pPr>
                  <w:r>
                    <w:rPr>
                      <w:rFonts w:hint="eastAsia"/>
                      <w:sz w:val="21"/>
                      <w:szCs w:val="21"/>
                      <w:lang w:bidi="ar"/>
                    </w:rPr>
                    <w:t>10000</w:t>
                  </w:r>
                </w:p>
              </w:tc>
              <w:tc>
                <w:tcPr>
                  <w:tcW w:w="1276" w:type="dxa"/>
                  <w:tcBorders>
                    <w:tl2br w:val="nil"/>
                    <w:tr2bl w:val="nil"/>
                  </w:tcBorders>
                  <w:vAlign w:val="center"/>
                </w:tcPr>
                <w:p w14:paraId="3E4D9DE1">
                  <w:pPr>
                    <w:spacing w:line="340" w:lineRule="exact"/>
                    <w:ind w:firstLine="0" w:firstLineChars="0"/>
                    <w:jc w:val="center"/>
                    <w:rPr>
                      <w:sz w:val="21"/>
                      <w:szCs w:val="21"/>
                      <w:lang w:bidi="ar"/>
                    </w:rPr>
                  </w:pPr>
                  <w:r>
                    <w:rPr>
                      <w:rFonts w:hint="eastAsia"/>
                      <w:sz w:val="21"/>
                      <w:szCs w:val="21"/>
                      <w:lang w:bidi="ar"/>
                    </w:rPr>
                    <w:t>150</w:t>
                  </w:r>
                </w:p>
              </w:tc>
              <w:tc>
                <w:tcPr>
                  <w:tcW w:w="1013" w:type="dxa"/>
                  <w:tcBorders>
                    <w:tl2br w:val="nil"/>
                    <w:tr2bl w:val="nil"/>
                  </w:tcBorders>
                  <w:vAlign w:val="center"/>
                </w:tcPr>
                <w:p w14:paraId="589BE805">
                  <w:pPr>
                    <w:spacing w:line="340" w:lineRule="exact"/>
                    <w:ind w:firstLine="0" w:firstLineChars="0"/>
                    <w:jc w:val="center"/>
                    <w:rPr>
                      <w:sz w:val="21"/>
                      <w:szCs w:val="21"/>
                      <w:lang w:bidi="ar"/>
                    </w:rPr>
                  </w:pPr>
                  <w:r>
                    <w:rPr>
                      <w:rFonts w:hint="eastAsia"/>
                      <w:sz w:val="21"/>
                      <w:szCs w:val="21"/>
                      <w:lang w:bidi="ar"/>
                    </w:rPr>
                    <w:t>1.5</w:t>
                  </w:r>
                </w:p>
              </w:tc>
              <w:tc>
                <w:tcPr>
                  <w:tcW w:w="0" w:type="auto"/>
                  <w:tcBorders>
                    <w:tl2br w:val="nil"/>
                    <w:tr2bl w:val="nil"/>
                  </w:tcBorders>
                  <w:vAlign w:val="center"/>
                </w:tcPr>
                <w:p w14:paraId="7ED54C73">
                  <w:pPr>
                    <w:spacing w:line="340" w:lineRule="exact"/>
                    <w:ind w:firstLine="0" w:firstLineChars="0"/>
                    <w:jc w:val="center"/>
                    <w:rPr>
                      <w:sz w:val="21"/>
                      <w:szCs w:val="21"/>
                      <w:lang w:bidi="ar"/>
                    </w:rPr>
                  </w:pPr>
                  <w:r>
                    <w:rPr>
                      <w:rFonts w:hint="eastAsia"/>
                      <w:sz w:val="21"/>
                      <w:szCs w:val="21"/>
                      <w:lang w:bidi="ar"/>
                    </w:rPr>
                    <w:t>3.6</w:t>
                  </w:r>
                </w:p>
              </w:tc>
              <w:tc>
                <w:tcPr>
                  <w:tcW w:w="0" w:type="auto"/>
                  <w:tcBorders>
                    <w:tl2br w:val="nil"/>
                    <w:tr2bl w:val="nil"/>
                  </w:tcBorders>
                  <w:shd w:val="clear" w:color="auto" w:fill="auto"/>
                  <w:vAlign w:val="center"/>
                </w:tcPr>
                <w:p w14:paraId="298D3B88">
                  <w:pPr>
                    <w:spacing w:line="340" w:lineRule="exact"/>
                    <w:ind w:firstLine="0" w:firstLineChars="0"/>
                    <w:jc w:val="center"/>
                    <w:rPr>
                      <w:sz w:val="21"/>
                      <w:szCs w:val="21"/>
                      <w:lang w:bidi="ar"/>
                    </w:rPr>
                  </w:pPr>
                  <w:r>
                    <w:rPr>
                      <w:rFonts w:hint="eastAsia"/>
                      <w:sz w:val="21"/>
                      <w:szCs w:val="21"/>
                      <w:lang w:bidi="ar"/>
                    </w:rPr>
                    <w:t>有组织</w:t>
                  </w:r>
                </w:p>
              </w:tc>
              <w:tc>
                <w:tcPr>
                  <w:tcW w:w="0" w:type="auto"/>
                  <w:tcBorders>
                    <w:tl2br w:val="nil"/>
                    <w:tr2bl w:val="nil"/>
                  </w:tcBorders>
                  <w:vAlign w:val="center"/>
                </w:tcPr>
                <w:p w14:paraId="057AE779">
                  <w:pPr>
                    <w:spacing w:line="340" w:lineRule="exact"/>
                    <w:ind w:firstLine="0" w:firstLineChars="0"/>
                    <w:jc w:val="center"/>
                    <w:rPr>
                      <w:sz w:val="21"/>
                      <w:szCs w:val="21"/>
                      <w:lang w:bidi="ar"/>
                    </w:rPr>
                  </w:pPr>
                  <w:r>
                    <w:rPr>
                      <w:rFonts w:hint="eastAsia"/>
                      <w:sz w:val="21"/>
                      <w:szCs w:val="21"/>
                      <w:lang w:bidi="ar"/>
                    </w:rPr>
                    <w:t>脉冲布袋除尘器</w:t>
                  </w:r>
                </w:p>
              </w:tc>
              <w:tc>
                <w:tcPr>
                  <w:tcW w:w="0" w:type="auto"/>
                  <w:tcBorders>
                    <w:tl2br w:val="nil"/>
                    <w:tr2bl w:val="nil"/>
                  </w:tcBorders>
                  <w:vAlign w:val="center"/>
                </w:tcPr>
                <w:p w14:paraId="62FFB6F9">
                  <w:pPr>
                    <w:spacing w:line="340" w:lineRule="exact"/>
                    <w:ind w:firstLine="0" w:firstLineChars="0"/>
                    <w:jc w:val="center"/>
                    <w:rPr>
                      <w:sz w:val="21"/>
                      <w:szCs w:val="21"/>
                      <w:lang w:bidi="ar"/>
                    </w:rPr>
                  </w:pPr>
                  <w:r>
                    <w:rPr>
                      <w:rFonts w:hint="eastAsia"/>
                      <w:sz w:val="21"/>
                      <w:szCs w:val="21"/>
                      <w:lang w:bidi="ar"/>
                    </w:rPr>
                    <w:t>100%</w:t>
                  </w:r>
                </w:p>
              </w:tc>
              <w:tc>
                <w:tcPr>
                  <w:tcW w:w="0" w:type="auto"/>
                  <w:tcBorders>
                    <w:tl2br w:val="nil"/>
                    <w:tr2bl w:val="nil"/>
                  </w:tcBorders>
                  <w:vAlign w:val="center"/>
                </w:tcPr>
                <w:p w14:paraId="2F9A4E01">
                  <w:pPr>
                    <w:spacing w:line="340" w:lineRule="exact"/>
                    <w:ind w:firstLine="0" w:firstLineChars="0"/>
                    <w:jc w:val="center"/>
                    <w:rPr>
                      <w:sz w:val="21"/>
                      <w:szCs w:val="21"/>
                      <w:lang w:bidi="ar"/>
                    </w:rPr>
                  </w:pPr>
                  <w:r>
                    <w:rPr>
                      <w:rFonts w:hint="eastAsia"/>
                      <w:sz w:val="21"/>
                      <w:szCs w:val="21"/>
                      <w:lang w:bidi="ar"/>
                    </w:rPr>
                    <w:t>9</w:t>
                  </w:r>
                  <w:r>
                    <w:rPr>
                      <w:rFonts w:hint="eastAsia"/>
                      <w:sz w:val="21"/>
                      <w:szCs w:val="21"/>
                      <w:lang w:val="en-US" w:eastAsia="zh-CN" w:bidi="ar"/>
                    </w:rPr>
                    <w:t>9</w:t>
                  </w:r>
                  <w:r>
                    <w:rPr>
                      <w:rFonts w:hint="eastAsia"/>
                      <w:sz w:val="21"/>
                      <w:szCs w:val="21"/>
                      <w:lang w:bidi="ar"/>
                    </w:rPr>
                    <w:t>%</w:t>
                  </w:r>
                </w:p>
              </w:tc>
              <w:tc>
                <w:tcPr>
                  <w:tcW w:w="0" w:type="auto"/>
                  <w:tcBorders>
                    <w:tl2br w:val="nil"/>
                    <w:tr2bl w:val="nil"/>
                  </w:tcBorders>
                  <w:vAlign w:val="center"/>
                </w:tcPr>
                <w:p w14:paraId="110254FE">
                  <w:pPr>
                    <w:spacing w:line="340" w:lineRule="exact"/>
                    <w:ind w:firstLine="0" w:firstLineChars="0"/>
                    <w:jc w:val="center"/>
                    <w:rPr>
                      <w:sz w:val="21"/>
                      <w:szCs w:val="21"/>
                      <w:lang w:bidi="ar"/>
                    </w:rPr>
                  </w:pPr>
                  <w:r>
                    <w:rPr>
                      <w:rFonts w:hint="eastAsia"/>
                      <w:sz w:val="21"/>
                      <w:szCs w:val="21"/>
                      <w:lang w:bidi="ar"/>
                    </w:rPr>
                    <w:t>是</w:t>
                  </w:r>
                </w:p>
              </w:tc>
              <w:tc>
                <w:tcPr>
                  <w:tcW w:w="0" w:type="auto"/>
                  <w:tcBorders>
                    <w:tl2br w:val="nil"/>
                    <w:tr2bl w:val="nil"/>
                  </w:tcBorders>
                  <w:shd w:val="clear" w:color="auto" w:fill="auto"/>
                  <w:vAlign w:val="center"/>
                </w:tcPr>
                <w:p w14:paraId="0881163B">
                  <w:pPr>
                    <w:spacing w:line="340" w:lineRule="exact"/>
                    <w:ind w:firstLine="0" w:firstLineChars="0"/>
                    <w:jc w:val="center"/>
                    <w:rPr>
                      <w:rFonts w:hint="default" w:ascii="Times New Roman" w:hAnsi="Times New Roman" w:eastAsia="宋体" w:cs="Times New Roman"/>
                      <w:kern w:val="2"/>
                      <w:sz w:val="21"/>
                      <w:szCs w:val="21"/>
                      <w:lang w:val="en-US" w:eastAsia="zh-CN" w:bidi="ar"/>
                    </w:rPr>
                  </w:pPr>
                  <w:r>
                    <w:rPr>
                      <w:rFonts w:hint="eastAsia" w:cs="Times New Roman"/>
                      <w:kern w:val="2"/>
                      <w:sz w:val="21"/>
                      <w:szCs w:val="21"/>
                      <w:lang w:val="en-US" w:eastAsia="zh-CN" w:bidi="ar"/>
                    </w:rPr>
                    <w:t>1.5</w:t>
                  </w:r>
                </w:p>
              </w:tc>
              <w:tc>
                <w:tcPr>
                  <w:tcW w:w="0" w:type="auto"/>
                  <w:tcBorders>
                    <w:tl2br w:val="nil"/>
                    <w:tr2bl w:val="nil"/>
                  </w:tcBorders>
                  <w:vAlign w:val="center"/>
                </w:tcPr>
                <w:p w14:paraId="2F627DAC">
                  <w:pPr>
                    <w:spacing w:line="340" w:lineRule="exact"/>
                    <w:ind w:firstLine="0" w:firstLineChars="0"/>
                    <w:jc w:val="center"/>
                    <w:rPr>
                      <w:rFonts w:hint="default" w:eastAsia="宋体"/>
                      <w:sz w:val="21"/>
                      <w:szCs w:val="21"/>
                      <w:lang w:val="en-US" w:eastAsia="zh-CN" w:bidi="ar"/>
                    </w:rPr>
                  </w:pPr>
                  <w:r>
                    <w:rPr>
                      <w:rFonts w:hint="eastAsia"/>
                      <w:sz w:val="21"/>
                      <w:szCs w:val="21"/>
                      <w:lang w:val="en-US" w:eastAsia="zh-CN" w:bidi="ar"/>
                    </w:rPr>
                    <w:t>0.015</w:t>
                  </w:r>
                </w:p>
              </w:tc>
              <w:tc>
                <w:tcPr>
                  <w:tcW w:w="0" w:type="auto"/>
                  <w:tcBorders>
                    <w:tl2br w:val="nil"/>
                    <w:tr2bl w:val="nil"/>
                  </w:tcBorders>
                  <w:shd w:val="clear" w:color="auto" w:fill="auto"/>
                  <w:vAlign w:val="center"/>
                </w:tcPr>
                <w:p w14:paraId="76B82C9E">
                  <w:pPr>
                    <w:spacing w:line="340" w:lineRule="exact"/>
                    <w:ind w:firstLine="0" w:firstLineChars="0"/>
                    <w:jc w:val="center"/>
                    <w:rPr>
                      <w:rFonts w:hint="default" w:ascii="Times New Roman" w:hAnsi="Times New Roman" w:eastAsia="宋体" w:cs="Times New Roman"/>
                      <w:kern w:val="2"/>
                      <w:sz w:val="21"/>
                      <w:szCs w:val="21"/>
                      <w:lang w:val="en-US" w:eastAsia="zh-CN" w:bidi="ar"/>
                    </w:rPr>
                  </w:pPr>
                  <w:r>
                    <w:rPr>
                      <w:rFonts w:hint="eastAsia"/>
                      <w:color w:val="000000"/>
                      <w:kern w:val="0"/>
                      <w:sz w:val="21"/>
                      <w:szCs w:val="21"/>
                      <w:lang w:val="en-US" w:eastAsia="zh-CN" w:bidi="ar"/>
                    </w:rPr>
                    <w:t>0.036</w:t>
                  </w:r>
                </w:p>
              </w:tc>
              <w:tc>
                <w:tcPr>
                  <w:tcW w:w="0" w:type="auto"/>
                  <w:vMerge w:val="restart"/>
                  <w:tcBorders>
                    <w:tl2br w:val="nil"/>
                    <w:tr2bl w:val="nil"/>
                  </w:tcBorders>
                  <w:shd w:val="clear" w:color="auto" w:fill="auto"/>
                  <w:vAlign w:val="center"/>
                </w:tcPr>
                <w:p w14:paraId="6804D181">
                  <w:pPr>
                    <w:spacing w:line="340" w:lineRule="exact"/>
                    <w:ind w:firstLine="0" w:firstLineChars="0"/>
                    <w:jc w:val="center"/>
                    <w:rPr>
                      <w:rFonts w:hint="eastAsia" w:ascii="Times New Roman" w:hAnsi="Times New Roman" w:eastAsia="宋体" w:cs="Times New Roman"/>
                      <w:kern w:val="2"/>
                      <w:sz w:val="21"/>
                      <w:szCs w:val="21"/>
                      <w:lang w:val="en-US" w:eastAsia="zh-CN" w:bidi="ar"/>
                    </w:rPr>
                  </w:pPr>
                  <w:r>
                    <w:rPr>
                      <w:rFonts w:hint="eastAsia"/>
                      <w:sz w:val="21"/>
                      <w:szCs w:val="21"/>
                      <w:lang w:bidi="ar"/>
                    </w:rPr>
                    <w:t>H=</w:t>
                  </w:r>
                  <w:r>
                    <w:rPr>
                      <w:rFonts w:hint="eastAsia"/>
                      <w:sz w:val="21"/>
                      <w:szCs w:val="21"/>
                      <w:lang w:val="en-US" w:eastAsia="zh-CN" w:bidi="ar"/>
                    </w:rPr>
                    <w:t>30</w:t>
                  </w:r>
                  <w:r>
                    <w:rPr>
                      <w:rFonts w:hint="eastAsia"/>
                      <w:sz w:val="21"/>
                      <w:szCs w:val="21"/>
                      <w:lang w:bidi="ar"/>
                    </w:rPr>
                    <w:t>m、内径0.</w:t>
                  </w:r>
                  <w:r>
                    <w:rPr>
                      <w:rFonts w:hint="eastAsia"/>
                      <w:sz w:val="21"/>
                      <w:szCs w:val="21"/>
                      <w:lang w:val="en-US" w:eastAsia="zh-CN" w:bidi="ar"/>
                    </w:rPr>
                    <w:t>6</w:t>
                  </w:r>
                  <w:r>
                    <w:rPr>
                      <w:rFonts w:hint="eastAsia"/>
                      <w:sz w:val="21"/>
                      <w:szCs w:val="21"/>
                      <w:lang w:bidi="ar"/>
                    </w:rPr>
                    <w:t>m、温度25℃</w:t>
                  </w:r>
                </w:p>
              </w:tc>
              <w:tc>
                <w:tcPr>
                  <w:tcW w:w="0" w:type="auto"/>
                  <w:vMerge w:val="restart"/>
                  <w:tcBorders>
                    <w:tl2br w:val="nil"/>
                    <w:tr2bl w:val="nil"/>
                  </w:tcBorders>
                  <w:shd w:val="clear" w:color="auto" w:fill="auto"/>
                  <w:vAlign w:val="center"/>
                </w:tcPr>
                <w:p w14:paraId="37EB0C8C">
                  <w:pPr>
                    <w:spacing w:line="340" w:lineRule="exact"/>
                    <w:ind w:firstLine="0" w:firstLineChars="0"/>
                    <w:jc w:val="center"/>
                    <w:rPr>
                      <w:rFonts w:hint="eastAsia"/>
                      <w:sz w:val="21"/>
                      <w:szCs w:val="21"/>
                      <w:lang w:bidi="ar"/>
                    </w:rPr>
                  </w:pPr>
                  <w:r>
                    <w:rPr>
                      <w:rFonts w:hint="eastAsia"/>
                      <w:sz w:val="21"/>
                      <w:szCs w:val="21"/>
                      <w:lang w:bidi="ar"/>
                    </w:rPr>
                    <w:t>DA001</w:t>
                  </w:r>
                </w:p>
                <w:p w14:paraId="7AB794BC">
                  <w:pPr>
                    <w:spacing w:line="340" w:lineRule="exact"/>
                    <w:ind w:firstLine="0" w:firstLineChars="0"/>
                    <w:jc w:val="center"/>
                    <w:rPr>
                      <w:rFonts w:hint="eastAsia" w:ascii="Times New Roman" w:hAnsi="Times New Roman" w:eastAsia="宋体" w:cs="Times New Roman"/>
                      <w:kern w:val="2"/>
                      <w:sz w:val="21"/>
                      <w:szCs w:val="21"/>
                      <w:lang w:val="en-US" w:eastAsia="zh-CN" w:bidi="ar"/>
                    </w:rPr>
                  </w:pPr>
                  <w:r>
                    <w:rPr>
                      <w:rFonts w:hint="eastAsia"/>
                      <w:sz w:val="21"/>
                      <w:szCs w:val="21"/>
                      <w:lang w:bidi="ar"/>
                    </w:rPr>
                    <w:t>一般排放口</w:t>
                  </w:r>
                </w:p>
              </w:tc>
              <w:tc>
                <w:tcPr>
                  <w:tcW w:w="0" w:type="auto"/>
                  <w:vMerge w:val="restart"/>
                  <w:tcBorders>
                    <w:tl2br w:val="nil"/>
                    <w:tr2bl w:val="nil"/>
                  </w:tcBorders>
                  <w:shd w:val="clear" w:color="auto" w:fill="auto"/>
                  <w:vAlign w:val="center"/>
                </w:tcPr>
                <w:p w14:paraId="3600CB46">
                  <w:pPr>
                    <w:spacing w:line="340" w:lineRule="exact"/>
                    <w:ind w:firstLine="0" w:firstLineChars="0"/>
                    <w:jc w:val="center"/>
                    <w:rPr>
                      <w:rFonts w:hint="eastAsia" w:ascii="Times New Roman" w:hAnsi="Times New Roman" w:eastAsia="宋体" w:cs="Times New Roman"/>
                      <w:kern w:val="2"/>
                      <w:sz w:val="21"/>
                      <w:szCs w:val="21"/>
                      <w:lang w:val="en-US" w:eastAsia="zh-CN" w:bidi="ar"/>
                    </w:rPr>
                  </w:pPr>
                  <w:r>
                    <w:rPr>
                      <w:rFonts w:hint="eastAsia"/>
                      <w:sz w:val="21"/>
                      <w:szCs w:val="21"/>
                      <w:lang w:bidi="ar"/>
                    </w:rPr>
                    <w:t>经度119.13211104纬度26.15860565</w:t>
                  </w:r>
                </w:p>
              </w:tc>
              <w:tc>
                <w:tcPr>
                  <w:tcW w:w="0" w:type="auto"/>
                  <w:vMerge w:val="continue"/>
                  <w:tcBorders>
                    <w:tl2br w:val="nil"/>
                    <w:tr2bl w:val="nil"/>
                  </w:tcBorders>
                  <w:vAlign w:val="center"/>
                </w:tcPr>
                <w:p w14:paraId="57D1E21E">
                  <w:pPr>
                    <w:spacing w:line="340" w:lineRule="exact"/>
                    <w:ind w:firstLine="0" w:firstLineChars="0"/>
                    <w:jc w:val="center"/>
                    <w:rPr>
                      <w:color w:val="FF0000"/>
                      <w:sz w:val="21"/>
                      <w:szCs w:val="21"/>
                      <w:lang w:bidi="ar"/>
                    </w:rPr>
                  </w:pPr>
                </w:p>
              </w:tc>
              <w:tc>
                <w:tcPr>
                  <w:tcW w:w="0" w:type="auto"/>
                  <w:tcBorders>
                    <w:tl2br w:val="nil"/>
                    <w:tr2bl w:val="nil"/>
                  </w:tcBorders>
                  <w:vAlign w:val="center"/>
                </w:tcPr>
                <w:p w14:paraId="1F77E05E">
                  <w:pPr>
                    <w:spacing w:line="340" w:lineRule="exact"/>
                    <w:ind w:firstLine="0" w:firstLineChars="0"/>
                    <w:jc w:val="center"/>
                    <w:rPr>
                      <w:sz w:val="21"/>
                      <w:szCs w:val="21"/>
                      <w:lang w:bidi="ar"/>
                    </w:rPr>
                  </w:pPr>
                  <w:r>
                    <w:rPr>
                      <w:rFonts w:hint="eastAsia"/>
                      <w:sz w:val="21"/>
                      <w:szCs w:val="21"/>
                      <w:lang w:bidi="ar"/>
                    </w:rPr>
                    <w:t>10</w:t>
                  </w:r>
                </w:p>
              </w:tc>
            </w:tr>
            <w:tr w14:paraId="5B839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1104" w:type="dxa"/>
                  <w:vMerge w:val="restart"/>
                  <w:tcBorders>
                    <w:tl2br w:val="nil"/>
                    <w:tr2bl w:val="nil"/>
                  </w:tcBorders>
                  <w:vAlign w:val="center"/>
                </w:tcPr>
                <w:p w14:paraId="317CFDD1">
                  <w:pPr>
                    <w:spacing w:line="340" w:lineRule="exact"/>
                    <w:ind w:firstLine="0" w:firstLineChars="0"/>
                    <w:jc w:val="center"/>
                    <w:rPr>
                      <w:bCs/>
                      <w:sz w:val="21"/>
                      <w:szCs w:val="21"/>
                    </w:rPr>
                  </w:pPr>
                  <w:r>
                    <w:rPr>
                      <w:bCs/>
                      <w:sz w:val="21"/>
                      <w:szCs w:val="21"/>
                    </w:rPr>
                    <w:t>投料</w:t>
                  </w:r>
                </w:p>
                <w:p w14:paraId="2515CD45">
                  <w:pPr>
                    <w:spacing w:line="340" w:lineRule="exact"/>
                    <w:ind w:firstLine="0" w:firstLineChars="0"/>
                    <w:jc w:val="center"/>
                    <w:rPr>
                      <w:bCs/>
                      <w:sz w:val="21"/>
                      <w:szCs w:val="21"/>
                    </w:rPr>
                  </w:pPr>
                  <w:r>
                    <w:rPr>
                      <w:bCs/>
                      <w:sz w:val="21"/>
                      <w:szCs w:val="21"/>
                    </w:rPr>
                    <w:t>粉尘</w:t>
                  </w:r>
                </w:p>
              </w:tc>
              <w:tc>
                <w:tcPr>
                  <w:tcW w:w="0" w:type="auto"/>
                  <w:vMerge w:val="continue"/>
                  <w:tcBorders>
                    <w:tl2br w:val="nil"/>
                    <w:tr2bl w:val="nil"/>
                  </w:tcBorders>
                  <w:vAlign w:val="center"/>
                </w:tcPr>
                <w:p w14:paraId="4548D793">
                  <w:pPr>
                    <w:spacing w:line="340" w:lineRule="exact"/>
                    <w:ind w:firstLine="0" w:firstLineChars="0"/>
                    <w:jc w:val="center"/>
                    <w:rPr>
                      <w:sz w:val="21"/>
                      <w:szCs w:val="21"/>
                      <w:lang w:bidi="ar"/>
                    </w:rPr>
                  </w:pPr>
                </w:p>
              </w:tc>
              <w:tc>
                <w:tcPr>
                  <w:tcW w:w="1010" w:type="dxa"/>
                  <w:tcBorders>
                    <w:tl2br w:val="nil"/>
                    <w:tr2bl w:val="nil"/>
                  </w:tcBorders>
                  <w:vAlign w:val="center"/>
                </w:tcPr>
                <w:p w14:paraId="78D8F785">
                  <w:pPr>
                    <w:spacing w:line="340" w:lineRule="exact"/>
                    <w:ind w:firstLine="0" w:firstLineChars="0"/>
                    <w:jc w:val="center"/>
                    <w:rPr>
                      <w:sz w:val="21"/>
                      <w:szCs w:val="21"/>
                      <w:lang w:bidi="ar"/>
                    </w:rPr>
                  </w:pPr>
                  <w:r>
                    <w:rPr>
                      <w:rFonts w:hint="eastAsia"/>
                      <w:sz w:val="21"/>
                      <w:szCs w:val="21"/>
                      <w:lang w:bidi="ar"/>
                    </w:rPr>
                    <w:t>10000</w:t>
                  </w:r>
                </w:p>
              </w:tc>
              <w:tc>
                <w:tcPr>
                  <w:tcW w:w="1276" w:type="dxa"/>
                  <w:tcBorders>
                    <w:tl2br w:val="nil"/>
                    <w:tr2bl w:val="nil"/>
                  </w:tcBorders>
                  <w:vAlign w:val="center"/>
                </w:tcPr>
                <w:p w14:paraId="7C097CC9">
                  <w:pPr>
                    <w:spacing w:line="340" w:lineRule="exact"/>
                    <w:ind w:firstLine="0" w:firstLineChars="0"/>
                    <w:jc w:val="center"/>
                    <w:rPr>
                      <w:sz w:val="21"/>
                      <w:szCs w:val="21"/>
                      <w:lang w:bidi="ar"/>
                    </w:rPr>
                  </w:pPr>
                  <w:r>
                    <w:rPr>
                      <w:rFonts w:hint="eastAsia"/>
                      <w:sz w:val="21"/>
                      <w:szCs w:val="21"/>
                      <w:lang w:bidi="ar"/>
                    </w:rPr>
                    <w:t>9.4</w:t>
                  </w:r>
                </w:p>
              </w:tc>
              <w:tc>
                <w:tcPr>
                  <w:tcW w:w="1013" w:type="dxa"/>
                  <w:tcBorders>
                    <w:tl2br w:val="nil"/>
                    <w:tr2bl w:val="nil"/>
                  </w:tcBorders>
                  <w:vAlign w:val="center"/>
                </w:tcPr>
                <w:p w14:paraId="1B4F6FB4">
                  <w:pPr>
                    <w:spacing w:line="340" w:lineRule="exact"/>
                    <w:ind w:firstLine="0" w:firstLineChars="0"/>
                    <w:jc w:val="center"/>
                    <w:rPr>
                      <w:sz w:val="21"/>
                      <w:szCs w:val="21"/>
                      <w:lang w:bidi="ar"/>
                    </w:rPr>
                  </w:pPr>
                  <w:r>
                    <w:rPr>
                      <w:rFonts w:hint="eastAsia"/>
                      <w:sz w:val="21"/>
                      <w:szCs w:val="21"/>
                      <w:lang w:bidi="ar"/>
                    </w:rPr>
                    <w:t>0.094</w:t>
                  </w:r>
                </w:p>
              </w:tc>
              <w:tc>
                <w:tcPr>
                  <w:tcW w:w="0" w:type="auto"/>
                  <w:tcBorders>
                    <w:tl2br w:val="nil"/>
                    <w:tr2bl w:val="nil"/>
                  </w:tcBorders>
                  <w:vAlign w:val="center"/>
                </w:tcPr>
                <w:p w14:paraId="308BF614">
                  <w:pPr>
                    <w:spacing w:line="340" w:lineRule="exact"/>
                    <w:ind w:firstLine="0" w:firstLineChars="0"/>
                    <w:jc w:val="center"/>
                    <w:rPr>
                      <w:sz w:val="21"/>
                      <w:szCs w:val="21"/>
                      <w:lang w:bidi="ar"/>
                    </w:rPr>
                  </w:pPr>
                  <w:r>
                    <w:rPr>
                      <w:rFonts w:hint="eastAsia"/>
                      <w:sz w:val="21"/>
                      <w:szCs w:val="21"/>
                      <w:lang w:bidi="ar"/>
                    </w:rPr>
                    <w:t>0.225</w:t>
                  </w:r>
                </w:p>
              </w:tc>
              <w:tc>
                <w:tcPr>
                  <w:tcW w:w="0" w:type="auto"/>
                  <w:tcBorders>
                    <w:tl2br w:val="nil"/>
                    <w:tr2bl w:val="nil"/>
                  </w:tcBorders>
                  <w:shd w:val="clear" w:color="auto" w:fill="auto"/>
                  <w:vAlign w:val="center"/>
                </w:tcPr>
                <w:p w14:paraId="7B81BBC1">
                  <w:pPr>
                    <w:spacing w:line="340" w:lineRule="exact"/>
                    <w:ind w:firstLine="0" w:firstLineChars="0"/>
                    <w:jc w:val="center"/>
                    <w:rPr>
                      <w:sz w:val="21"/>
                      <w:szCs w:val="21"/>
                      <w:lang w:bidi="ar"/>
                    </w:rPr>
                  </w:pPr>
                  <w:r>
                    <w:rPr>
                      <w:rFonts w:hint="eastAsia"/>
                      <w:sz w:val="21"/>
                      <w:szCs w:val="21"/>
                      <w:lang w:bidi="ar"/>
                    </w:rPr>
                    <w:t>有组织</w:t>
                  </w:r>
                </w:p>
              </w:tc>
              <w:tc>
                <w:tcPr>
                  <w:tcW w:w="0" w:type="auto"/>
                  <w:tcBorders>
                    <w:tl2br w:val="nil"/>
                    <w:tr2bl w:val="nil"/>
                  </w:tcBorders>
                  <w:vAlign w:val="center"/>
                </w:tcPr>
                <w:p w14:paraId="5B434CF2">
                  <w:pPr>
                    <w:spacing w:line="340" w:lineRule="exact"/>
                    <w:ind w:firstLine="0" w:firstLineChars="0"/>
                    <w:jc w:val="center"/>
                    <w:rPr>
                      <w:sz w:val="21"/>
                      <w:szCs w:val="21"/>
                      <w:lang w:bidi="ar"/>
                    </w:rPr>
                  </w:pPr>
                  <w:r>
                    <w:rPr>
                      <w:rFonts w:hint="eastAsia"/>
                      <w:sz w:val="21"/>
                      <w:szCs w:val="21"/>
                      <w:lang w:bidi="ar"/>
                    </w:rPr>
                    <w:t>脉冲布袋除尘器</w:t>
                  </w:r>
                </w:p>
              </w:tc>
              <w:tc>
                <w:tcPr>
                  <w:tcW w:w="0" w:type="auto"/>
                  <w:tcBorders>
                    <w:tl2br w:val="nil"/>
                    <w:tr2bl w:val="nil"/>
                  </w:tcBorders>
                  <w:shd w:val="clear" w:color="auto" w:fill="auto"/>
                  <w:vAlign w:val="center"/>
                </w:tcPr>
                <w:p w14:paraId="437FDDFC">
                  <w:pPr>
                    <w:spacing w:line="340" w:lineRule="exact"/>
                    <w:ind w:firstLine="0" w:firstLineChars="0"/>
                    <w:jc w:val="center"/>
                    <w:rPr>
                      <w:sz w:val="21"/>
                      <w:szCs w:val="21"/>
                      <w:lang w:bidi="ar"/>
                    </w:rPr>
                  </w:pPr>
                  <w:r>
                    <w:rPr>
                      <w:rFonts w:hint="eastAsia"/>
                      <w:sz w:val="21"/>
                      <w:szCs w:val="21"/>
                      <w:lang w:bidi="ar"/>
                    </w:rPr>
                    <w:t>90%</w:t>
                  </w:r>
                </w:p>
              </w:tc>
              <w:tc>
                <w:tcPr>
                  <w:tcW w:w="0" w:type="auto"/>
                  <w:tcBorders>
                    <w:tl2br w:val="nil"/>
                    <w:tr2bl w:val="nil"/>
                  </w:tcBorders>
                  <w:shd w:val="clear" w:color="auto" w:fill="auto"/>
                  <w:vAlign w:val="center"/>
                </w:tcPr>
                <w:p w14:paraId="1F1C2424">
                  <w:pPr>
                    <w:spacing w:line="340" w:lineRule="exact"/>
                    <w:ind w:firstLine="0" w:firstLineChars="0"/>
                    <w:jc w:val="center"/>
                    <w:rPr>
                      <w:sz w:val="21"/>
                      <w:szCs w:val="21"/>
                      <w:lang w:bidi="ar"/>
                    </w:rPr>
                  </w:pPr>
                  <w:r>
                    <w:rPr>
                      <w:rFonts w:hint="eastAsia"/>
                      <w:sz w:val="21"/>
                      <w:szCs w:val="21"/>
                      <w:lang w:bidi="ar"/>
                    </w:rPr>
                    <w:t>9</w:t>
                  </w:r>
                  <w:r>
                    <w:rPr>
                      <w:rFonts w:hint="eastAsia"/>
                      <w:sz w:val="21"/>
                      <w:szCs w:val="21"/>
                      <w:lang w:val="en-US" w:eastAsia="zh-CN" w:bidi="ar"/>
                    </w:rPr>
                    <w:t>9</w:t>
                  </w:r>
                  <w:r>
                    <w:rPr>
                      <w:rFonts w:hint="eastAsia"/>
                      <w:sz w:val="21"/>
                      <w:szCs w:val="21"/>
                      <w:lang w:bidi="ar"/>
                    </w:rPr>
                    <w:t>%</w:t>
                  </w:r>
                </w:p>
              </w:tc>
              <w:tc>
                <w:tcPr>
                  <w:tcW w:w="0" w:type="auto"/>
                  <w:tcBorders>
                    <w:tl2br w:val="nil"/>
                    <w:tr2bl w:val="nil"/>
                  </w:tcBorders>
                  <w:shd w:val="clear" w:color="auto" w:fill="auto"/>
                  <w:vAlign w:val="center"/>
                </w:tcPr>
                <w:p w14:paraId="2D0F110C">
                  <w:pPr>
                    <w:spacing w:line="340" w:lineRule="exact"/>
                    <w:ind w:firstLine="0" w:firstLineChars="0"/>
                    <w:jc w:val="center"/>
                    <w:rPr>
                      <w:sz w:val="21"/>
                      <w:szCs w:val="21"/>
                      <w:lang w:bidi="ar"/>
                    </w:rPr>
                  </w:pPr>
                  <w:r>
                    <w:rPr>
                      <w:rFonts w:hint="eastAsia"/>
                      <w:sz w:val="21"/>
                      <w:szCs w:val="21"/>
                      <w:lang w:bidi="ar"/>
                    </w:rPr>
                    <w:t>是</w:t>
                  </w:r>
                </w:p>
              </w:tc>
              <w:tc>
                <w:tcPr>
                  <w:tcW w:w="0" w:type="auto"/>
                  <w:tcBorders>
                    <w:tl2br w:val="nil"/>
                    <w:tr2bl w:val="nil"/>
                  </w:tcBorders>
                  <w:shd w:val="clear" w:color="auto" w:fill="auto"/>
                  <w:vAlign w:val="center"/>
                </w:tcPr>
                <w:p w14:paraId="6A68AA44">
                  <w:pPr>
                    <w:spacing w:line="340" w:lineRule="exact"/>
                    <w:ind w:firstLine="0" w:firstLineChars="0"/>
                    <w:jc w:val="center"/>
                    <w:rPr>
                      <w:rFonts w:hint="default" w:ascii="Times New Roman" w:hAnsi="Times New Roman" w:eastAsia="宋体" w:cs="Times New Roman"/>
                      <w:kern w:val="2"/>
                      <w:sz w:val="21"/>
                      <w:szCs w:val="21"/>
                      <w:lang w:val="en-US" w:eastAsia="zh-CN" w:bidi="ar"/>
                    </w:rPr>
                  </w:pPr>
                  <w:r>
                    <w:rPr>
                      <w:rFonts w:hint="eastAsia" w:cs="Times New Roman"/>
                      <w:kern w:val="2"/>
                      <w:sz w:val="21"/>
                      <w:szCs w:val="21"/>
                      <w:lang w:val="en-US" w:eastAsia="zh-CN" w:bidi="ar"/>
                    </w:rPr>
                    <w:t>0.1</w:t>
                  </w:r>
                </w:p>
              </w:tc>
              <w:tc>
                <w:tcPr>
                  <w:tcW w:w="0" w:type="auto"/>
                  <w:tcBorders>
                    <w:tl2br w:val="nil"/>
                    <w:tr2bl w:val="nil"/>
                  </w:tcBorders>
                  <w:vAlign w:val="center"/>
                </w:tcPr>
                <w:p w14:paraId="00E7FCDA">
                  <w:pPr>
                    <w:spacing w:line="340" w:lineRule="exact"/>
                    <w:ind w:firstLine="0" w:firstLineChars="0"/>
                    <w:jc w:val="center"/>
                    <w:rPr>
                      <w:rFonts w:hint="default" w:eastAsia="宋体"/>
                      <w:sz w:val="21"/>
                      <w:szCs w:val="21"/>
                      <w:lang w:val="en-US" w:eastAsia="zh-CN" w:bidi="ar"/>
                    </w:rPr>
                  </w:pPr>
                  <w:r>
                    <w:rPr>
                      <w:rFonts w:hint="eastAsia"/>
                      <w:sz w:val="21"/>
                      <w:szCs w:val="21"/>
                      <w:lang w:val="en-US" w:eastAsia="zh-CN" w:bidi="ar"/>
                    </w:rPr>
                    <w:t>0.001</w:t>
                  </w:r>
                </w:p>
              </w:tc>
              <w:tc>
                <w:tcPr>
                  <w:tcW w:w="0" w:type="auto"/>
                  <w:tcBorders>
                    <w:tl2br w:val="nil"/>
                    <w:tr2bl w:val="nil"/>
                  </w:tcBorders>
                  <w:shd w:val="clear" w:color="auto" w:fill="auto"/>
                  <w:vAlign w:val="center"/>
                </w:tcPr>
                <w:p w14:paraId="0EEE227C">
                  <w:pPr>
                    <w:spacing w:line="340" w:lineRule="exact"/>
                    <w:ind w:firstLine="0" w:firstLineChars="0"/>
                    <w:jc w:val="center"/>
                    <w:rPr>
                      <w:rFonts w:hint="default" w:ascii="Times New Roman" w:hAnsi="Times New Roman" w:eastAsia="宋体" w:cs="Times New Roman"/>
                      <w:kern w:val="2"/>
                      <w:sz w:val="21"/>
                      <w:szCs w:val="21"/>
                      <w:lang w:val="en-US" w:eastAsia="zh-CN" w:bidi="ar"/>
                    </w:rPr>
                  </w:pPr>
                  <w:r>
                    <w:rPr>
                      <w:rFonts w:hint="eastAsia"/>
                      <w:sz w:val="21"/>
                      <w:szCs w:val="21"/>
                      <w:lang w:val="en-US" w:eastAsia="zh-CN"/>
                    </w:rPr>
                    <w:t>0.0023</w:t>
                  </w:r>
                </w:p>
              </w:tc>
              <w:tc>
                <w:tcPr>
                  <w:tcW w:w="0" w:type="auto"/>
                  <w:vMerge w:val="continue"/>
                  <w:tcBorders>
                    <w:tl2br w:val="nil"/>
                    <w:tr2bl w:val="nil"/>
                  </w:tcBorders>
                  <w:vAlign w:val="center"/>
                </w:tcPr>
                <w:p w14:paraId="6D7F76E7">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4B966EE7">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3A46CDF4">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27F307AE">
                  <w:pPr>
                    <w:spacing w:line="340" w:lineRule="exact"/>
                    <w:ind w:firstLine="0" w:firstLineChars="0"/>
                    <w:jc w:val="center"/>
                    <w:rPr>
                      <w:color w:val="FF0000"/>
                      <w:sz w:val="21"/>
                      <w:szCs w:val="21"/>
                      <w:lang w:bidi="ar"/>
                    </w:rPr>
                  </w:pPr>
                </w:p>
              </w:tc>
              <w:tc>
                <w:tcPr>
                  <w:tcW w:w="0" w:type="auto"/>
                  <w:tcBorders>
                    <w:tl2br w:val="nil"/>
                    <w:tr2bl w:val="nil"/>
                  </w:tcBorders>
                  <w:shd w:val="clear" w:color="auto" w:fill="auto"/>
                  <w:vAlign w:val="center"/>
                </w:tcPr>
                <w:p w14:paraId="41653D17">
                  <w:pPr>
                    <w:spacing w:line="340" w:lineRule="exact"/>
                    <w:ind w:firstLine="0" w:firstLineChars="0"/>
                    <w:jc w:val="center"/>
                    <w:rPr>
                      <w:sz w:val="21"/>
                      <w:szCs w:val="21"/>
                      <w:lang w:bidi="ar"/>
                    </w:rPr>
                  </w:pPr>
                  <w:r>
                    <w:rPr>
                      <w:rFonts w:hint="eastAsia"/>
                      <w:sz w:val="21"/>
                      <w:szCs w:val="21"/>
                      <w:lang w:bidi="ar"/>
                    </w:rPr>
                    <w:t>10</w:t>
                  </w:r>
                </w:p>
              </w:tc>
            </w:tr>
            <w:tr w14:paraId="0AE080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1104" w:type="dxa"/>
                  <w:vMerge w:val="continue"/>
                  <w:tcBorders>
                    <w:tl2br w:val="nil"/>
                    <w:tr2bl w:val="nil"/>
                  </w:tcBorders>
                  <w:vAlign w:val="center"/>
                </w:tcPr>
                <w:p w14:paraId="7E7AF56E">
                  <w:pPr>
                    <w:spacing w:line="340" w:lineRule="exact"/>
                    <w:ind w:firstLine="0" w:firstLineChars="0"/>
                    <w:jc w:val="center"/>
                    <w:rPr>
                      <w:bCs/>
                      <w:sz w:val="21"/>
                      <w:szCs w:val="21"/>
                    </w:rPr>
                  </w:pPr>
                </w:p>
              </w:tc>
              <w:tc>
                <w:tcPr>
                  <w:tcW w:w="0" w:type="auto"/>
                  <w:vMerge w:val="continue"/>
                  <w:tcBorders>
                    <w:tl2br w:val="nil"/>
                    <w:tr2bl w:val="nil"/>
                  </w:tcBorders>
                  <w:vAlign w:val="center"/>
                </w:tcPr>
                <w:p w14:paraId="12EBCF67">
                  <w:pPr>
                    <w:spacing w:line="340" w:lineRule="exact"/>
                    <w:ind w:firstLine="0" w:firstLineChars="0"/>
                    <w:jc w:val="center"/>
                    <w:rPr>
                      <w:sz w:val="21"/>
                      <w:szCs w:val="21"/>
                      <w:lang w:bidi="ar"/>
                    </w:rPr>
                  </w:pPr>
                </w:p>
              </w:tc>
              <w:tc>
                <w:tcPr>
                  <w:tcW w:w="1010" w:type="dxa"/>
                  <w:tcBorders>
                    <w:tl2br w:val="nil"/>
                    <w:tr2bl w:val="nil"/>
                  </w:tcBorders>
                  <w:vAlign w:val="center"/>
                </w:tcPr>
                <w:p w14:paraId="390F6A74">
                  <w:pPr>
                    <w:spacing w:line="340" w:lineRule="exact"/>
                    <w:ind w:firstLine="0" w:firstLineChars="0"/>
                    <w:jc w:val="center"/>
                    <w:rPr>
                      <w:sz w:val="21"/>
                      <w:szCs w:val="21"/>
                      <w:lang w:bidi="ar"/>
                    </w:rPr>
                  </w:pPr>
                  <w:r>
                    <w:rPr>
                      <w:rFonts w:hint="eastAsia"/>
                      <w:sz w:val="21"/>
                      <w:szCs w:val="21"/>
                      <w:lang w:bidi="ar"/>
                    </w:rPr>
                    <w:t>/</w:t>
                  </w:r>
                </w:p>
              </w:tc>
              <w:tc>
                <w:tcPr>
                  <w:tcW w:w="1276" w:type="dxa"/>
                  <w:tcBorders>
                    <w:tl2br w:val="nil"/>
                    <w:tr2bl w:val="nil"/>
                  </w:tcBorders>
                  <w:vAlign w:val="center"/>
                </w:tcPr>
                <w:p w14:paraId="1341AFA6">
                  <w:pPr>
                    <w:spacing w:line="340" w:lineRule="exact"/>
                    <w:ind w:firstLine="0" w:firstLineChars="0"/>
                    <w:jc w:val="center"/>
                    <w:rPr>
                      <w:sz w:val="21"/>
                      <w:szCs w:val="21"/>
                      <w:lang w:bidi="ar"/>
                    </w:rPr>
                  </w:pPr>
                  <w:r>
                    <w:rPr>
                      <w:rFonts w:hint="eastAsia"/>
                      <w:sz w:val="21"/>
                      <w:szCs w:val="21"/>
                      <w:lang w:bidi="ar"/>
                    </w:rPr>
                    <w:t>/</w:t>
                  </w:r>
                </w:p>
              </w:tc>
              <w:tc>
                <w:tcPr>
                  <w:tcW w:w="1013" w:type="dxa"/>
                  <w:tcBorders>
                    <w:tl2br w:val="nil"/>
                    <w:tr2bl w:val="nil"/>
                  </w:tcBorders>
                  <w:vAlign w:val="center"/>
                </w:tcPr>
                <w:p w14:paraId="0A58BD4E">
                  <w:pPr>
                    <w:spacing w:line="340" w:lineRule="exact"/>
                    <w:ind w:firstLine="0" w:firstLineChars="0"/>
                    <w:jc w:val="center"/>
                    <w:rPr>
                      <w:sz w:val="21"/>
                      <w:szCs w:val="21"/>
                      <w:lang w:bidi="ar"/>
                    </w:rPr>
                  </w:pPr>
                  <w:r>
                    <w:rPr>
                      <w:rFonts w:hint="eastAsia"/>
                      <w:sz w:val="21"/>
                      <w:szCs w:val="21"/>
                      <w:lang w:bidi="ar"/>
                    </w:rPr>
                    <w:t>0.</w:t>
                  </w:r>
                  <w:r>
                    <w:rPr>
                      <w:rFonts w:hint="eastAsia"/>
                      <w:sz w:val="21"/>
                      <w:szCs w:val="21"/>
                      <w:lang w:val="en-US" w:eastAsia="zh-CN" w:bidi="ar"/>
                    </w:rPr>
                    <w:t>0</w:t>
                  </w:r>
                  <w:r>
                    <w:rPr>
                      <w:rFonts w:hint="eastAsia"/>
                      <w:sz w:val="21"/>
                      <w:szCs w:val="21"/>
                      <w:lang w:bidi="ar"/>
                    </w:rPr>
                    <w:t>1</w:t>
                  </w:r>
                </w:p>
              </w:tc>
              <w:tc>
                <w:tcPr>
                  <w:tcW w:w="0" w:type="auto"/>
                  <w:tcBorders>
                    <w:tl2br w:val="nil"/>
                    <w:tr2bl w:val="nil"/>
                  </w:tcBorders>
                  <w:vAlign w:val="center"/>
                </w:tcPr>
                <w:p w14:paraId="5C3E9B19">
                  <w:pPr>
                    <w:spacing w:line="340" w:lineRule="exact"/>
                    <w:ind w:firstLine="0" w:firstLineChars="0"/>
                    <w:jc w:val="center"/>
                    <w:rPr>
                      <w:sz w:val="21"/>
                      <w:szCs w:val="21"/>
                      <w:lang w:bidi="ar"/>
                    </w:rPr>
                  </w:pPr>
                  <w:r>
                    <w:rPr>
                      <w:rFonts w:hint="eastAsia"/>
                      <w:sz w:val="21"/>
                      <w:szCs w:val="21"/>
                      <w:lang w:bidi="ar"/>
                    </w:rPr>
                    <w:t>0.</w:t>
                  </w:r>
                  <w:r>
                    <w:rPr>
                      <w:rFonts w:hint="eastAsia"/>
                      <w:sz w:val="21"/>
                      <w:szCs w:val="21"/>
                      <w:lang w:val="en-US" w:eastAsia="zh-CN" w:bidi="ar"/>
                    </w:rPr>
                    <w:t>0</w:t>
                  </w:r>
                  <w:r>
                    <w:rPr>
                      <w:rFonts w:hint="eastAsia"/>
                      <w:sz w:val="21"/>
                      <w:szCs w:val="21"/>
                      <w:lang w:bidi="ar"/>
                    </w:rPr>
                    <w:t>25</w:t>
                  </w:r>
                </w:p>
              </w:tc>
              <w:tc>
                <w:tcPr>
                  <w:tcW w:w="0" w:type="auto"/>
                  <w:tcBorders>
                    <w:tl2br w:val="nil"/>
                    <w:tr2bl w:val="nil"/>
                  </w:tcBorders>
                  <w:shd w:val="clear" w:color="auto" w:fill="auto"/>
                  <w:vAlign w:val="center"/>
                </w:tcPr>
                <w:p w14:paraId="18E42283">
                  <w:pPr>
                    <w:spacing w:line="340" w:lineRule="exact"/>
                    <w:ind w:firstLine="0" w:firstLineChars="0"/>
                    <w:jc w:val="center"/>
                    <w:rPr>
                      <w:sz w:val="21"/>
                      <w:szCs w:val="21"/>
                      <w:lang w:bidi="ar"/>
                    </w:rPr>
                  </w:pPr>
                  <w:r>
                    <w:rPr>
                      <w:rFonts w:hint="eastAsia"/>
                      <w:sz w:val="21"/>
                      <w:szCs w:val="21"/>
                      <w:lang w:bidi="ar"/>
                    </w:rPr>
                    <w:t>无组织</w:t>
                  </w:r>
                </w:p>
              </w:tc>
              <w:tc>
                <w:tcPr>
                  <w:tcW w:w="0" w:type="auto"/>
                  <w:tcBorders>
                    <w:tl2br w:val="nil"/>
                    <w:tr2bl w:val="nil"/>
                  </w:tcBorders>
                  <w:vAlign w:val="center"/>
                </w:tcPr>
                <w:p w14:paraId="512EBB31">
                  <w:pPr>
                    <w:spacing w:line="340" w:lineRule="exact"/>
                    <w:ind w:firstLine="0" w:firstLineChars="0"/>
                    <w:jc w:val="center"/>
                    <w:rPr>
                      <w:sz w:val="21"/>
                      <w:szCs w:val="21"/>
                      <w:lang w:bidi="ar"/>
                    </w:rPr>
                  </w:pPr>
                  <w:r>
                    <w:rPr>
                      <w:rFonts w:hint="eastAsia"/>
                      <w:sz w:val="21"/>
                      <w:szCs w:val="21"/>
                      <w:lang w:bidi="ar"/>
                    </w:rPr>
                    <w:t>密闭车间</w:t>
                  </w:r>
                </w:p>
              </w:tc>
              <w:tc>
                <w:tcPr>
                  <w:tcW w:w="0" w:type="auto"/>
                  <w:tcBorders>
                    <w:tl2br w:val="nil"/>
                    <w:tr2bl w:val="nil"/>
                  </w:tcBorders>
                  <w:shd w:val="clear" w:color="auto" w:fill="auto"/>
                  <w:vAlign w:val="center"/>
                </w:tcPr>
                <w:p w14:paraId="44E67F16">
                  <w:pPr>
                    <w:spacing w:line="340" w:lineRule="exact"/>
                    <w:ind w:firstLine="0" w:firstLineChars="0"/>
                    <w:jc w:val="center"/>
                    <w:rPr>
                      <w:sz w:val="21"/>
                      <w:szCs w:val="21"/>
                      <w:lang w:bidi="ar"/>
                    </w:rPr>
                  </w:pPr>
                  <w:r>
                    <w:rPr>
                      <w:rFonts w:hint="eastAsia"/>
                      <w:sz w:val="21"/>
                      <w:szCs w:val="21"/>
                      <w:lang w:bidi="ar"/>
                    </w:rPr>
                    <w:t>/</w:t>
                  </w:r>
                </w:p>
              </w:tc>
              <w:tc>
                <w:tcPr>
                  <w:tcW w:w="0" w:type="auto"/>
                  <w:tcBorders>
                    <w:tl2br w:val="nil"/>
                    <w:tr2bl w:val="nil"/>
                  </w:tcBorders>
                  <w:shd w:val="clear" w:color="auto" w:fill="auto"/>
                  <w:vAlign w:val="center"/>
                </w:tcPr>
                <w:p w14:paraId="6D873FBD">
                  <w:pPr>
                    <w:spacing w:line="340" w:lineRule="exact"/>
                    <w:ind w:firstLine="0" w:firstLineChars="0"/>
                    <w:jc w:val="center"/>
                    <w:rPr>
                      <w:sz w:val="21"/>
                      <w:szCs w:val="21"/>
                      <w:lang w:bidi="ar"/>
                    </w:rPr>
                  </w:pPr>
                  <w:r>
                    <w:rPr>
                      <w:rFonts w:hint="eastAsia"/>
                      <w:sz w:val="21"/>
                      <w:szCs w:val="21"/>
                      <w:lang w:bidi="ar"/>
                    </w:rPr>
                    <w:t>/</w:t>
                  </w:r>
                </w:p>
              </w:tc>
              <w:tc>
                <w:tcPr>
                  <w:tcW w:w="0" w:type="auto"/>
                  <w:tcBorders>
                    <w:tl2br w:val="nil"/>
                    <w:tr2bl w:val="nil"/>
                  </w:tcBorders>
                  <w:shd w:val="clear" w:color="auto" w:fill="auto"/>
                  <w:vAlign w:val="center"/>
                </w:tcPr>
                <w:p w14:paraId="45EA83BA">
                  <w:pPr>
                    <w:spacing w:line="340" w:lineRule="exact"/>
                    <w:ind w:firstLine="0" w:firstLineChars="0"/>
                    <w:jc w:val="center"/>
                    <w:rPr>
                      <w:sz w:val="21"/>
                      <w:szCs w:val="21"/>
                      <w:lang w:bidi="ar"/>
                    </w:rPr>
                  </w:pPr>
                  <w:r>
                    <w:rPr>
                      <w:rFonts w:hint="eastAsia"/>
                      <w:sz w:val="21"/>
                      <w:szCs w:val="21"/>
                      <w:lang w:bidi="ar"/>
                    </w:rPr>
                    <w:t>是</w:t>
                  </w:r>
                </w:p>
              </w:tc>
              <w:tc>
                <w:tcPr>
                  <w:tcW w:w="0" w:type="auto"/>
                  <w:tcBorders>
                    <w:tl2br w:val="nil"/>
                    <w:tr2bl w:val="nil"/>
                  </w:tcBorders>
                  <w:vAlign w:val="center"/>
                </w:tcPr>
                <w:p w14:paraId="4EF29382">
                  <w:pPr>
                    <w:spacing w:line="340" w:lineRule="exact"/>
                    <w:ind w:firstLine="0" w:firstLineChars="0"/>
                    <w:jc w:val="center"/>
                    <w:rPr>
                      <w:sz w:val="21"/>
                      <w:szCs w:val="21"/>
                      <w:lang w:bidi="ar"/>
                    </w:rPr>
                  </w:pPr>
                  <w:r>
                    <w:rPr>
                      <w:rFonts w:hint="eastAsia"/>
                      <w:sz w:val="21"/>
                      <w:szCs w:val="21"/>
                      <w:lang w:bidi="ar"/>
                    </w:rPr>
                    <w:t>/</w:t>
                  </w:r>
                </w:p>
              </w:tc>
              <w:tc>
                <w:tcPr>
                  <w:tcW w:w="0" w:type="auto"/>
                  <w:tcBorders>
                    <w:tl2br w:val="nil"/>
                    <w:tr2bl w:val="nil"/>
                  </w:tcBorders>
                  <w:shd w:val="clear" w:color="auto" w:fill="auto"/>
                  <w:vAlign w:val="center"/>
                </w:tcPr>
                <w:p w14:paraId="64AE33D3">
                  <w:pPr>
                    <w:spacing w:line="340" w:lineRule="exact"/>
                    <w:ind w:firstLine="0" w:firstLineChars="0"/>
                    <w:jc w:val="center"/>
                    <w:rPr>
                      <w:rFonts w:ascii="Times New Roman" w:hAnsi="Times New Roman" w:eastAsia="宋体" w:cs="Times New Roman"/>
                      <w:kern w:val="2"/>
                      <w:sz w:val="21"/>
                      <w:szCs w:val="21"/>
                      <w:lang w:val="en-US" w:eastAsia="zh-CN" w:bidi="ar"/>
                    </w:rPr>
                  </w:pPr>
                  <w:r>
                    <w:rPr>
                      <w:rFonts w:hint="eastAsia"/>
                      <w:sz w:val="21"/>
                      <w:szCs w:val="21"/>
                      <w:lang w:bidi="ar"/>
                    </w:rPr>
                    <w:t>0.</w:t>
                  </w:r>
                  <w:r>
                    <w:rPr>
                      <w:rFonts w:hint="eastAsia"/>
                      <w:sz w:val="21"/>
                      <w:szCs w:val="21"/>
                      <w:lang w:val="en-US" w:eastAsia="zh-CN" w:bidi="ar"/>
                    </w:rPr>
                    <w:t>0</w:t>
                  </w:r>
                  <w:r>
                    <w:rPr>
                      <w:rFonts w:hint="eastAsia"/>
                      <w:sz w:val="21"/>
                      <w:szCs w:val="21"/>
                      <w:lang w:bidi="ar"/>
                    </w:rPr>
                    <w:t>1</w:t>
                  </w:r>
                </w:p>
              </w:tc>
              <w:tc>
                <w:tcPr>
                  <w:tcW w:w="0" w:type="auto"/>
                  <w:tcBorders>
                    <w:tl2br w:val="nil"/>
                    <w:tr2bl w:val="nil"/>
                  </w:tcBorders>
                  <w:shd w:val="clear" w:color="auto" w:fill="auto"/>
                  <w:vAlign w:val="center"/>
                </w:tcPr>
                <w:p w14:paraId="075D628B">
                  <w:pPr>
                    <w:spacing w:line="340" w:lineRule="exact"/>
                    <w:ind w:firstLine="0" w:firstLineChars="0"/>
                    <w:jc w:val="center"/>
                    <w:rPr>
                      <w:sz w:val="21"/>
                      <w:szCs w:val="21"/>
                      <w:lang w:bidi="ar"/>
                    </w:rPr>
                  </w:pPr>
                  <w:r>
                    <w:rPr>
                      <w:rFonts w:hint="eastAsia"/>
                      <w:sz w:val="21"/>
                      <w:szCs w:val="21"/>
                    </w:rPr>
                    <w:t>0.025</w:t>
                  </w:r>
                </w:p>
              </w:tc>
              <w:tc>
                <w:tcPr>
                  <w:tcW w:w="0" w:type="auto"/>
                  <w:vMerge w:val="continue"/>
                  <w:tcBorders>
                    <w:tl2br w:val="nil"/>
                    <w:tr2bl w:val="nil"/>
                  </w:tcBorders>
                  <w:vAlign w:val="center"/>
                </w:tcPr>
                <w:p w14:paraId="6EBA2642">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45E4F7C3">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36C65973">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0F8F1207">
                  <w:pPr>
                    <w:spacing w:line="340" w:lineRule="exact"/>
                    <w:ind w:firstLine="0" w:firstLineChars="0"/>
                    <w:jc w:val="center"/>
                    <w:rPr>
                      <w:color w:val="FF0000"/>
                      <w:sz w:val="21"/>
                      <w:szCs w:val="21"/>
                      <w:lang w:bidi="ar"/>
                    </w:rPr>
                  </w:pPr>
                </w:p>
              </w:tc>
              <w:tc>
                <w:tcPr>
                  <w:tcW w:w="0" w:type="auto"/>
                  <w:tcBorders>
                    <w:tl2br w:val="nil"/>
                    <w:tr2bl w:val="nil"/>
                  </w:tcBorders>
                  <w:shd w:val="clear" w:color="auto" w:fill="auto"/>
                  <w:vAlign w:val="center"/>
                </w:tcPr>
                <w:p w14:paraId="68C6F992">
                  <w:pPr>
                    <w:spacing w:line="340" w:lineRule="exact"/>
                    <w:ind w:firstLine="0" w:firstLineChars="0"/>
                    <w:jc w:val="center"/>
                    <w:rPr>
                      <w:sz w:val="21"/>
                      <w:szCs w:val="21"/>
                      <w:lang w:bidi="ar"/>
                    </w:rPr>
                  </w:pPr>
                  <w:r>
                    <w:rPr>
                      <w:rFonts w:hint="eastAsia"/>
                      <w:sz w:val="21"/>
                      <w:szCs w:val="21"/>
                      <w:lang w:bidi="ar"/>
                    </w:rPr>
                    <w:t>0.5</w:t>
                  </w:r>
                </w:p>
              </w:tc>
            </w:tr>
            <w:tr w14:paraId="71348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0" w:type="auto"/>
                  <w:tcBorders>
                    <w:tl2br w:val="nil"/>
                    <w:tr2bl w:val="nil"/>
                  </w:tcBorders>
                  <w:vAlign w:val="center"/>
                </w:tcPr>
                <w:p w14:paraId="438EA536">
                  <w:pPr>
                    <w:spacing w:line="340" w:lineRule="exact"/>
                    <w:ind w:firstLine="0" w:firstLineChars="0"/>
                    <w:jc w:val="center"/>
                    <w:rPr>
                      <w:bCs/>
                      <w:sz w:val="21"/>
                      <w:szCs w:val="21"/>
                    </w:rPr>
                  </w:pPr>
                  <w:r>
                    <w:rPr>
                      <w:rFonts w:hint="eastAsia"/>
                      <w:bCs/>
                      <w:sz w:val="21"/>
                      <w:szCs w:val="21"/>
                    </w:rPr>
                    <w:t>搅拌</w:t>
                  </w:r>
                </w:p>
                <w:p w14:paraId="22B860F1">
                  <w:pPr>
                    <w:spacing w:line="340" w:lineRule="exact"/>
                    <w:ind w:firstLine="0" w:firstLineChars="0"/>
                    <w:jc w:val="center"/>
                    <w:rPr>
                      <w:bCs/>
                      <w:sz w:val="21"/>
                      <w:szCs w:val="21"/>
                    </w:rPr>
                  </w:pPr>
                  <w:r>
                    <w:rPr>
                      <w:rFonts w:hint="eastAsia"/>
                      <w:bCs/>
                      <w:sz w:val="21"/>
                      <w:szCs w:val="21"/>
                    </w:rPr>
                    <w:t>粉尘</w:t>
                  </w:r>
                </w:p>
              </w:tc>
              <w:tc>
                <w:tcPr>
                  <w:tcW w:w="0" w:type="auto"/>
                  <w:vMerge w:val="continue"/>
                  <w:tcBorders>
                    <w:tl2br w:val="nil"/>
                    <w:tr2bl w:val="nil"/>
                  </w:tcBorders>
                  <w:vAlign w:val="center"/>
                </w:tcPr>
                <w:p w14:paraId="2FBC7A55">
                  <w:pPr>
                    <w:spacing w:line="340" w:lineRule="exact"/>
                    <w:ind w:firstLine="0" w:firstLineChars="0"/>
                    <w:jc w:val="center"/>
                    <w:rPr>
                      <w:sz w:val="21"/>
                      <w:szCs w:val="21"/>
                      <w:lang w:bidi="ar"/>
                    </w:rPr>
                  </w:pPr>
                </w:p>
              </w:tc>
              <w:tc>
                <w:tcPr>
                  <w:tcW w:w="0" w:type="auto"/>
                  <w:tcBorders>
                    <w:tl2br w:val="nil"/>
                    <w:tr2bl w:val="nil"/>
                  </w:tcBorders>
                  <w:vAlign w:val="center"/>
                </w:tcPr>
                <w:p w14:paraId="772721FF">
                  <w:pPr>
                    <w:spacing w:line="340" w:lineRule="exact"/>
                    <w:ind w:firstLine="0" w:firstLineChars="0"/>
                    <w:jc w:val="center"/>
                    <w:rPr>
                      <w:sz w:val="21"/>
                      <w:szCs w:val="21"/>
                      <w:lang w:bidi="ar"/>
                    </w:rPr>
                  </w:pPr>
                  <w:r>
                    <w:rPr>
                      <w:rFonts w:hint="eastAsia"/>
                      <w:sz w:val="21"/>
                      <w:szCs w:val="21"/>
                      <w:lang w:bidi="ar"/>
                    </w:rPr>
                    <w:t>10000</w:t>
                  </w:r>
                </w:p>
              </w:tc>
              <w:tc>
                <w:tcPr>
                  <w:tcW w:w="1276" w:type="dxa"/>
                  <w:tcBorders>
                    <w:tl2br w:val="nil"/>
                    <w:tr2bl w:val="nil"/>
                  </w:tcBorders>
                  <w:vAlign w:val="center"/>
                </w:tcPr>
                <w:p w14:paraId="3128C946">
                  <w:pPr>
                    <w:spacing w:line="340" w:lineRule="exact"/>
                    <w:ind w:firstLine="0" w:firstLineChars="0"/>
                    <w:jc w:val="center"/>
                    <w:rPr>
                      <w:sz w:val="21"/>
                      <w:szCs w:val="21"/>
                      <w:lang w:bidi="ar"/>
                    </w:rPr>
                  </w:pPr>
                  <w:r>
                    <w:rPr>
                      <w:rFonts w:hint="eastAsia"/>
                      <w:sz w:val="21"/>
                      <w:szCs w:val="21"/>
                      <w:lang w:bidi="ar"/>
                    </w:rPr>
                    <w:t>162.5</w:t>
                  </w:r>
                </w:p>
              </w:tc>
              <w:tc>
                <w:tcPr>
                  <w:tcW w:w="1013" w:type="dxa"/>
                  <w:tcBorders>
                    <w:tl2br w:val="nil"/>
                    <w:tr2bl w:val="nil"/>
                  </w:tcBorders>
                  <w:vAlign w:val="center"/>
                </w:tcPr>
                <w:p w14:paraId="3E5235F4">
                  <w:pPr>
                    <w:spacing w:line="340" w:lineRule="exact"/>
                    <w:ind w:firstLine="0" w:firstLineChars="0"/>
                    <w:jc w:val="center"/>
                    <w:rPr>
                      <w:sz w:val="21"/>
                      <w:szCs w:val="21"/>
                      <w:lang w:bidi="ar"/>
                    </w:rPr>
                  </w:pPr>
                  <w:r>
                    <w:rPr>
                      <w:rFonts w:hint="eastAsia"/>
                      <w:sz w:val="21"/>
                      <w:szCs w:val="21"/>
                      <w:lang w:bidi="ar"/>
                    </w:rPr>
                    <w:t>1.625</w:t>
                  </w:r>
                </w:p>
              </w:tc>
              <w:tc>
                <w:tcPr>
                  <w:tcW w:w="0" w:type="auto"/>
                  <w:tcBorders>
                    <w:tl2br w:val="nil"/>
                    <w:tr2bl w:val="nil"/>
                  </w:tcBorders>
                  <w:vAlign w:val="center"/>
                </w:tcPr>
                <w:p w14:paraId="4F47806D">
                  <w:pPr>
                    <w:spacing w:line="340" w:lineRule="exact"/>
                    <w:ind w:firstLine="0" w:firstLineChars="0"/>
                    <w:jc w:val="center"/>
                    <w:rPr>
                      <w:sz w:val="21"/>
                      <w:szCs w:val="21"/>
                      <w:lang w:bidi="ar"/>
                    </w:rPr>
                  </w:pPr>
                  <w:r>
                    <w:rPr>
                      <w:rFonts w:hint="eastAsia"/>
                      <w:sz w:val="21"/>
                      <w:szCs w:val="21"/>
                      <w:lang w:bidi="ar"/>
                    </w:rPr>
                    <w:t>3.9</w:t>
                  </w:r>
                </w:p>
              </w:tc>
              <w:tc>
                <w:tcPr>
                  <w:tcW w:w="0" w:type="auto"/>
                  <w:tcBorders>
                    <w:tl2br w:val="nil"/>
                    <w:tr2bl w:val="nil"/>
                  </w:tcBorders>
                  <w:vAlign w:val="center"/>
                </w:tcPr>
                <w:p w14:paraId="25E50DE4">
                  <w:pPr>
                    <w:spacing w:line="340" w:lineRule="exact"/>
                    <w:ind w:firstLine="0" w:firstLineChars="0"/>
                    <w:jc w:val="center"/>
                    <w:rPr>
                      <w:sz w:val="21"/>
                      <w:szCs w:val="21"/>
                      <w:lang w:bidi="ar"/>
                    </w:rPr>
                  </w:pPr>
                  <w:r>
                    <w:rPr>
                      <w:rFonts w:hint="eastAsia"/>
                      <w:sz w:val="21"/>
                      <w:szCs w:val="21"/>
                      <w:lang w:bidi="ar"/>
                    </w:rPr>
                    <w:t>有组织</w:t>
                  </w:r>
                </w:p>
              </w:tc>
              <w:tc>
                <w:tcPr>
                  <w:tcW w:w="0" w:type="auto"/>
                  <w:tcBorders>
                    <w:tl2br w:val="nil"/>
                    <w:tr2bl w:val="nil"/>
                  </w:tcBorders>
                  <w:vAlign w:val="center"/>
                </w:tcPr>
                <w:p w14:paraId="3E84E23A">
                  <w:pPr>
                    <w:spacing w:line="340" w:lineRule="exact"/>
                    <w:ind w:firstLine="0" w:firstLineChars="0"/>
                    <w:jc w:val="center"/>
                    <w:rPr>
                      <w:sz w:val="21"/>
                      <w:szCs w:val="21"/>
                      <w:lang w:bidi="ar"/>
                    </w:rPr>
                  </w:pPr>
                  <w:r>
                    <w:rPr>
                      <w:rFonts w:hint="eastAsia"/>
                      <w:sz w:val="21"/>
                      <w:szCs w:val="21"/>
                      <w:lang w:bidi="ar"/>
                    </w:rPr>
                    <w:t>脉冲布袋除尘器</w:t>
                  </w:r>
                </w:p>
              </w:tc>
              <w:tc>
                <w:tcPr>
                  <w:tcW w:w="0" w:type="auto"/>
                  <w:tcBorders>
                    <w:tl2br w:val="nil"/>
                    <w:tr2bl w:val="nil"/>
                  </w:tcBorders>
                  <w:vAlign w:val="center"/>
                </w:tcPr>
                <w:p w14:paraId="42D329C7">
                  <w:pPr>
                    <w:spacing w:line="340" w:lineRule="exact"/>
                    <w:ind w:firstLine="0" w:firstLineChars="0"/>
                    <w:jc w:val="center"/>
                    <w:rPr>
                      <w:sz w:val="21"/>
                      <w:szCs w:val="21"/>
                      <w:lang w:bidi="ar"/>
                    </w:rPr>
                  </w:pPr>
                  <w:r>
                    <w:rPr>
                      <w:rFonts w:hint="eastAsia"/>
                      <w:sz w:val="21"/>
                      <w:szCs w:val="21"/>
                      <w:lang w:bidi="ar"/>
                    </w:rPr>
                    <w:t>100%</w:t>
                  </w:r>
                </w:p>
              </w:tc>
              <w:tc>
                <w:tcPr>
                  <w:tcW w:w="0" w:type="auto"/>
                  <w:tcBorders>
                    <w:tl2br w:val="nil"/>
                    <w:tr2bl w:val="nil"/>
                  </w:tcBorders>
                  <w:vAlign w:val="center"/>
                </w:tcPr>
                <w:p w14:paraId="3BD0294B">
                  <w:pPr>
                    <w:spacing w:line="340" w:lineRule="exact"/>
                    <w:ind w:firstLine="0" w:firstLineChars="0"/>
                    <w:jc w:val="center"/>
                    <w:rPr>
                      <w:sz w:val="21"/>
                      <w:szCs w:val="21"/>
                      <w:lang w:bidi="ar"/>
                    </w:rPr>
                  </w:pPr>
                  <w:r>
                    <w:rPr>
                      <w:rFonts w:hint="eastAsia"/>
                      <w:sz w:val="21"/>
                      <w:szCs w:val="21"/>
                      <w:lang w:bidi="ar"/>
                    </w:rPr>
                    <w:t>9</w:t>
                  </w:r>
                  <w:r>
                    <w:rPr>
                      <w:rFonts w:hint="eastAsia"/>
                      <w:sz w:val="21"/>
                      <w:szCs w:val="21"/>
                      <w:lang w:val="en-US" w:eastAsia="zh-CN" w:bidi="ar"/>
                    </w:rPr>
                    <w:t>9</w:t>
                  </w:r>
                  <w:r>
                    <w:rPr>
                      <w:rFonts w:hint="eastAsia"/>
                      <w:sz w:val="21"/>
                      <w:szCs w:val="21"/>
                      <w:lang w:bidi="ar"/>
                    </w:rPr>
                    <w:t>%</w:t>
                  </w:r>
                </w:p>
              </w:tc>
              <w:tc>
                <w:tcPr>
                  <w:tcW w:w="0" w:type="auto"/>
                  <w:tcBorders>
                    <w:tl2br w:val="nil"/>
                    <w:tr2bl w:val="nil"/>
                  </w:tcBorders>
                  <w:vAlign w:val="center"/>
                </w:tcPr>
                <w:p w14:paraId="5338F34F">
                  <w:pPr>
                    <w:spacing w:line="340" w:lineRule="exact"/>
                    <w:ind w:firstLine="0" w:firstLineChars="0"/>
                    <w:jc w:val="center"/>
                    <w:rPr>
                      <w:sz w:val="21"/>
                      <w:szCs w:val="21"/>
                      <w:lang w:bidi="ar"/>
                    </w:rPr>
                  </w:pPr>
                  <w:r>
                    <w:rPr>
                      <w:rFonts w:hint="eastAsia"/>
                      <w:sz w:val="21"/>
                      <w:szCs w:val="21"/>
                      <w:lang w:bidi="ar"/>
                    </w:rPr>
                    <w:t>是</w:t>
                  </w:r>
                </w:p>
              </w:tc>
              <w:tc>
                <w:tcPr>
                  <w:tcW w:w="0" w:type="auto"/>
                  <w:tcBorders>
                    <w:tl2br w:val="nil"/>
                    <w:tr2bl w:val="nil"/>
                  </w:tcBorders>
                  <w:shd w:val="clear" w:color="auto" w:fill="auto"/>
                  <w:vAlign w:val="center"/>
                </w:tcPr>
                <w:p w14:paraId="15EC3AD5">
                  <w:pPr>
                    <w:spacing w:line="340" w:lineRule="exact"/>
                    <w:ind w:firstLine="0" w:firstLineChars="0"/>
                    <w:jc w:val="center"/>
                    <w:rPr>
                      <w:rFonts w:hint="default" w:ascii="Times New Roman" w:hAnsi="Times New Roman" w:eastAsia="宋体" w:cs="Times New Roman"/>
                      <w:kern w:val="2"/>
                      <w:sz w:val="21"/>
                      <w:szCs w:val="21"/>
                      <w:lang w:val="en-US" w:eastAsia="zh-CN" w:bidi="ar"/>
                    </w:rPr>
                  </w:pPr>
                  <w:r>
                    <w:rPr>
                      <w:rFonts w:hint="eastAsia" w:cs="Times New Roman"/>
                      <w:kern w:val="2"/>
                      <w:sz w:val="21"/>
                      <w:szCs w:val="21"/>
                      <w:lang w:val="en-US" w:eastAsia="zh-CN" w:bidi="ar"/>
                    </w:rPr>
                    <w:t>1.6</w:t>
                  </w:r>
                </w:p>
              </w:tc>
              <w:tc>
                <w:tcPr>
                  <w:tcW w:w="0" w:type="auto"/>
                  <w:tcBorders>
                    <w:tl2br w:val="nil"/>
                    <w:tr2bl w:val="nil"/>
                  </w:tcBorders>
                  <w:shd w:val="clear" w:color="auto" w:fill="auto"/>
                  <w:vAlign w:val="center"/>
                </w:tcPr>
                <w:p w14:paraId="6E11E769">
                  <w:pPr>
                    <w:spacing w:line="340" w:lineRule="exact"/>
                    <w:ind w:firstLine="0" w:firstLineChars="0"/>
                    <w:jc w:val="center"/>
                    <w:rPr>
                      <w:rFonts w:hint="default" w:ascii="Times New Roman" w:hAnsi="Times New Roman" w:eastAsia="宋体" w:cs="Times New Roman"/>
                      <w:kern w:val="2"/>
                      <w:sz w:val="21"/>
                      <w:szCs w:val="21"/>
                      <w:lang w:val="en-US" w:eastAsia="zh-CN" w:bidi="ar"/>
                    </w:rPr>
                  </w:pPr>
                  <w:r>
                    <w:rPr>
                      <w:rFonts w:hint="eastAsia" w:cs="Times New Roman"/>
                      <w:kern w:val="2"/>
                      <w:sz w:val="21"/>
                      <w:szCs w:val="21"/>
                      <w:lang w:val="en-US" w:eastAsia="zh-CN" w:bidi="ar"/>
                    </w:rPr>
                    <w:t>0.016</w:t>
                  </w:r>
                </w:p>
              </w:tc>
              <w:tc>
                <w:tcPr>
                  <w:tcW w:w="0" w:type="auto"/>
                  <w:tcBorders>
                    <w:tl2br w:val="nil"/>
                    <w:tr2bl w:val="nil"/>
                  </w:tcBorders>
                  <w:shd w:val="clear" w:color="auto" w:fill="auto"/>
                  <w:vAlign w:val="center"/>
                </w:tcPr>
                <w:p w14:paraId="086905C4">
                  <w:pPr>
                    <w:spacing w:line="340" w:lineRule="exact"/>
                    <w:ind w:firstLine="0" w:firstLineChars="0"/>
                    <w:jc w:val="center"/>
                    <w:rPr>
                      <w:rFonts w:hint="default" w:ascii="Times New Roman" w:hAnsi="Times New Roman" w:eastAsia="宋体" w:cs="Times New Roman"/>
                      <w:kern w:val="2"/>
                      <w:sz w:val="21"/>
                      <w:szCs w:val="21"/>
                      <w:lang w:val="en-US" w:eastAsia="zh-CN" w:bidi="ar"/>
                    </w:rPr>
                  </w:pPr>
                  <w:r>
                    <w:rPr>
                      <w:rFonts w:hint="eastAsia" w:cs="Times New Roman"/>
                      <w:kern w:val="2"/>
                      <w:sz w:val="21"/>
                      <w:szCs w:val="21"/>
                      <w:lang w:val="en-US" w:eastAsia="zh-CN" w:bidi="ar"/>
                    </w:rPr>
                    <w:t>0.039</w:t>
                  </w:r>
                </w:p>
              </w:tc>
              <w:tc>
                <w:tcPr>
                  <w:tcW w:w="0" w:type="auto"/>
                  <w:vMerge w:val="continue"/>
                  <w:tcBorders>
                    <w:tl2br w:val="nil"/>
                    <w:tr2bl w:val="nil"/>
                  </w:tcBorders>
                  <w:vAlign w:val="center"/>
                </w:tcPr>
                <w:p w14:paraId="58870F48">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137D8958">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30EB3961">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104822EF">
                  <w:pPr>
                    <w:spacing w:line="340" w:lineRule="exact"/>
                    <w:ind w:firstLine="0" w:firstLineChars="0"/>
                    <w:jc w:val="center"/>
                    <w:rPr>
                      <w:color w:val="FF0000"/>
                      <w:sz w:val="21"/>
                      <w:szCs w:val="21"/>
                      <w:lang w:bidi="ar"/>
                    </w:rPr>
                  </w:pPr>
                </w:p>
              </w:tc>
              <w:tc>
                <w:tcPr>
                  <w:tcW w:w="0" w:type="auto"/>
                  <w:tcBorders>
                    <w:tl2br w:val="nil"/>
                    <w:tr2bl w:val="nil"/>
                  </w:tcBorders>
                  <w:vAlign w:val="center"/>
                </w:tcPr>
                <w:p w14:paraId="5F4ADBAC">
                  <w:pPr>
                    <w:spacing w:line="340" w:lineRule="exact"/>
                    <w:ind w:firstLine="0" w:firstLineChars="0"/>
                    <w:jc w:val="center"/>
                    <w:rPr>
                      <w:sz w:val="21"/>
                      <w:szCs w:val="21"/>
                      <w:lang w:bidi="ar"/>
                    </w:rPr>
                  </w:pPr>
                  <w:r>
                    <w:rPr>
                      <w:rFonts w:hint="eastAsia"/>
                      <w:sz w:val="21"/>
                      <w:szCs w:val="21"/>
                      <w:lang w:bidi="ar"/>
                    </w:rPr>
                    <w:t>10</w:t>
                  </w:r>
                </w:p>
              </w:tc>
            </w:tr>
            <w:tr w14:paraId="0953C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0" w:hRule="atLeast"/>
              </w:trPr>
              <w:tc>
                <w:tcPr>
                  <w:tcW w:w="0" w:type="auto"/>
                  <w:vMerge w:val="restart"/>
                  <w:tcBorders>
                    <w:tl2br w:val="nil"/>
                    <w:tr2bl w:val="nil"/>
                  </w:tcBorders>
                  <w:vAlign w:val="center"/>
                </w:tcPr>
                <w:p w14:paraId="4A1FB044">
                  <w:pPr>
                    <w:spacing w:line="340" w:lineRule="exact"/>
                    <w:ind w:firstLine="0" w:firstLineChars="0"/>
                    <w:jc w:val="center"/>
                    <w:rPr>
                      <w:sz w:val="21"/>
                      <w:szCs w:val="21"/>
                      <w:lang w:bidi="ar"/>
                    </w:rPr>
                  </w:pPr>
                  <w:r>
                    <w:rPr>
                      <w:rFonts w:hint="eastAsia"/>
                      <w:sz w:val="21"/>
                      <w:szCs w:val="21"/>
                      <w:lang w:bidi="ar"/>
                    </w:rPr>
                    <w:t>出料</w:t>
                  </w:r>
                </w:p>
                <w:p w14:paraId="00A242BF">
                  <w:pPr>
                    <w:spacing w:line="340" w:lineRule="exact"/>
                    <w:ind w:firstLine="0" w:firstLineChars="0"/>
                    <w:jc w:val="center"/>
                    <w:rPr>
                      <w:sz w:val="21"/>
                      <w:szCs w:val="21"/>
                      <w:lang w:bidi="ar"/>
                    </w:rPr>
                  </w:pPr>
                  <w:r>
                    <w:rPr>
                      <w:rFonts w:hint="eastAsia"/>
                      <w:sz w:val="21"/>
                      <w:szCs w:val="21"/>
                      <w:lang w:bidi="ar"/>
                    </w:rPr>
                    <w:t>包装</w:t>
                  </w:r>
                </w:p>
                <w:p w14:paraId="19BF73E2">
                  <w:pPr>
                    <w:spacing w:line="340" w:lineRule="exact"/>
                    <w:ind w:firstLine="0" w:firstLineChars="0"/>
                    <w:jc w:val="center"/>
                    <w:rPr>
                      <w:sz w:val="21"/>
                      <w:szCs w:val="21"/>
                      <w:lang w:bidi="ar"/>
                    </w:rPr>
                  </w:pPr>
                  <w:r>
                    <w:rPr>
                      <w:rFonts w:hint="eastAsia"/>
                      <w:sz w:val="21"/>
                      <w:szCs w:val="21"/>
                      <w:lang w:bidi="ar"/>
                    </w:rPr>
                    <w:t>粉尘</w:t>
                  </w:r>
                </w:p>
              </w:tc>
              <w:tc>
                <w:tcPr>
                  <w:tcW w:w="0" w:type="auto"/>
                  <w:vMerge w:val="continue"/>
                  <w:tcBorders>
                    <w:tl2br w:val="nil"/>
                    <w:tr2bl w:val="nil"/>
                  </w:tcBorders>
                  <w:vAlign w:val="center"/>
                </w:tcPr>
                <w:p w14:paraId="5B9C4ED6">
                  <w:pPr>
                    <w:spacing w:line="340" w:lineRule="exact"/>
                    <w:ind w:firstLine="0" w:firstLineChars="0"/>
                    <w:jc w:val="center"/>
                    <w:rPr>
                      <w:sz w:val="21"/>
                      <w:szCs w:val="21"/>
                      <w:lang w:bidi="ar"/>
                    </w:rPr>
                  </w:pPr>
                </w:p>
              </w:tc>
              <w:tc>
                <w:tcPr>
                  <w:tcW w:w="0" w:type="auto"/>
                  <w:tcBorders>
                    <w:tl2br w:val="nil"/>
                    <w:tr2bl w:val="nil"/>
                  </w:tcBorders>
                  <w:vAlign w:val="center"/>
                </w:tcPr>
                <w:p w14:paraId="2072999F">
                  <w:pPr>
                    <w:spacing w:line="340" w:lineRule="exact"/>
                    <w:ind w:firstLine="0" w:firstLineChars="0"/>
                    <w:jc w:val="center"/>
                    <w:rPr>
                      <w:sz w:val="21"/>
                      <w:szCs w:val="21"/>
                      <w:lang w:bidi="ar"/>
                    </w:rPr>
                  </w:pPr>
                  <w:r>
                    <w:rPr>
                      <w:rFonts w:hint="eastAsia"/>
                      <w:sz w:val="21"/>
                      <w:szCs w:val="21"/>
                      <w:lang w:bidi="ar"/>
                    </w:rPr>
                    <w:t>10000</w:t>
                  </w:r>
                </w:p>
              </w:tc>
              <w:tc>
                <w:tcPr>
                  <w:tcW w:w="1276" w:type="dxa"/>
                  <w:tcBorders>
                    <w:tl2br w:val="nil"/>
                    <w:tr2bl w:val="nil"/>
                  </w:tcBorders>
                  <w:vAlign w:val="center"/>
                </w:tcPr>
                <w:p w14:paraId="4F11AA25">
                  <w:pPr>
                    <w:spacing w:line="340" w:lineRule="exact"/>
                    <w:ind w:firstLine="0" w:firstLineChars="0"/>
                    <w:jc w:val="center"/>
                    <w:rPr>
                      <w:sz w:val="21"/>
                      <w:szCs w:val="21"/>
                      <w:lang w:bidi="ar"/>
                    </w:rPr>
                  </w:pPr>
                  <w:r>
                    <w:rPr>
                      <w:rFonts w:hint="eastAsia"/>
                      <w:sz w:val="21"/>
                      <w:szCs w:val="21"/>
                      <w:lang w:bidi="ar"/>
                    </w:rPr>
                    <w:t>73.1</w:t>
                  </w:r>
                </w:p>
              </w:tc>
              <w:tc>
                <w:tcPr>
                  <w:tcW w:w="1013" w:type="dxa"/>
                  <w:tcBorders>
                    <w:tl2br w:val="nil"/>
                    <w:tr2bl w:val="nil"/>
                  </w:tcBorders>
                  <w:vAlign w:val="center"/>
                </w:tcPr>
                <w:p w14:paraId="220E446D">
                  <w:pPr>
                    <w:spacing w:line="340" w:lineRule="exact"/>
                    <w:ind w:firstLine="0" w:firstLineChars="0"/>
                    <w:jc w:val="center"/>
                    <w:rPr>
                      <w:sz w:val="21"/>
                      <w:szCs w:val="21"/>
                      <w:lang w:bidi="ar"/>
                    </w:rPr>
                  </w:pPr>
                  <w:r>
                    <w:rPr>
                      <w:rFonts w:hint="eastAsia"/>
                      <w:sz w:val="21"/>
                      <w:szCs w:val="21"/>
                      <w:lang w:bidi="ar"/>
                    </w:rPr>
                    <w:t>0.731</w:t>
                  </w:r>
                </w:p>
              </w:tc>
              <w:tc>
                <w:tcPr>
                  <w:tcW w:w="0" w:type="auto"/>
                  <w:tcBorders>
                    <w:tl2br w:val="nil"/>
                    <w:tr2bl w:val="nil"/>
                  </w:tcBorders>
                  <w:vAlign w:val="center"/>
                </w:tcPr>
                <w:p w14:paraId="572FE820">
                  <w:pPr>
                    <w:spacing w:line="340" w:lineRule="exact"/>
                    <w:ind w:firstLine="0" w:firstLineChars="0"/>
                    <w:jc w:val="center"/>
                    <w:rPr>
                      <w:sz w:val="21"/>
                      <w:szCs w:val="21"/>
                      <w:lang w:bidi="ar"/>
                    </w:rPr>
                  </w:pPr>
                  <w:r>
                    <w:rPr>
                      <w:rFonts w:hint="eastAsia"/>
                      <w:sz w:val="21"/>
                      <w:szCs w:val="21"/>
                      <w:lang w:bidi="ar"/>
                    </w:rPr>
                    <w:t>1.755</w:t>
                  </w:r>
                </w:p>
              </w:tc>
              <w:tc>
                <w:tcPr>
                  <w:tcW w:w="0" w:type="auto"/>
                  <w:tcBorders>
                    <w:tl2br w:val="nil"/>
                    <w:tr2bl w:val="nil"/>
                  </w:tcBorders>
                  <w:vAlign w:val="center"/>
                </w:tcPr>
                <w:p w14:paraId="1D977200">
                  <w:pPr>
                    <w:spacing w:line="340" w:lineRule="exact"/>
                    <w:ind w:firstLine="0" w:firstLineChars="0"/>
                    <w:jc w:val="center"/>
                    <w:rPr>
                      <w:sz w:val="21"/>
                      <w:szCs w:val="21"/>
                      <w:lang w:bidi="ar"/>
                    </w:rPr>
                  </w:pPr>
                  <w:r>
                    <w:rPr>
                      <w:rFonts w:hint="eastAsia"/>
                      <w:sz w:val="21"/>
                      <w:szCs w:val="21"/>
                      <w:lang w:bidi="ar"/>
                    </w:rPr>
                    <w:t>有组织</w:t>
                  </w:r>
                </w:p>
              </w:tc>
              <w:tc>
                <w:tcPr>
                  <w:tcW w:w="0" w:type="auto"/>
                  <w:tcBorders>
                    <w:tl2br w:val="nil"/>
                    <w:tr2bl w:val="nil"/>
                  </w:tcBorders>
                  <w:vAlign w:val="center"/>
                </w:tcPr>
                <w:p w14:paraId="6CC10B1A">
                  <w:pPr>
                    <w:spacing w:line="340" w:lineRule="exact"/>
                    <w:ind w:firstLine="0" w:firstLineChars="0"/>
                    <w:jc w:val="center"/>
                    <w:rPr>
                      <w:sz w:val="21"/>
                      <w:szCs w:val="21"/>
                      <w:lang w:bidi="ar"/>
                    </w:rPr>
                  </w:pPr>
                  <w:r>
                    <w:rPr>
                      <w:rFonts w:hint="eastAsia"/>
                      <w:sz w:val="21"/>
                      <w:szCs w:val="21"/>
                      <w:lang w:bidi="ar"/>
                    </w:rPr>
                    <w:t>半封闭式围挡+集气罩+脉冲布袋除尘器</w:t>
                  </w:r>
                </w:p>
              </w:tc>
              <w:tc>
                <w:tcPr>
                  <w:tcW w:w="0" w:type="auto"/>
                  <w:tcBorders>
                    <w:tl2br w:val="nil"/>
                    <w:tr2bl w:val="nil"/>
                  </w:tcBorders>
                  <w:vAlign w:val="center"/>
                </w:tcPr>
                <w:p w14:paraId="00143CA4">
                  <w:pPr>
                    <w:spacing w:line="340" w:lineRule="exact"/>
                    <w:ind w:firstLine="0" w:firstLineChars="0"/>
                    <w:jc w:val="center"/>
                    <w:rPr>
                      <w:sz w:val="21"/>
                      <w:szCs w:val="21"/>
                      <w:lang w:bidi="ar"/>
                    </w:rPr>
                  </w:pPr>
                  <w:r>
                    <w:rPr>
                      <w:rFonts w:hint="eastAsia"/>
                      <w:sz w:val="21"/>
                      <w:szCs w:val="21"/>
                      <w:lang w:bidi="ar"/>
                    </w:rPr>
                    <w:t>90%</w:t>
                  </w:r>
                </w:p>
              </w:tc>
              <w:tc>
                <w:tcPr>
                  <w:tcW w:w="0" w:type="auto"/>
                  <w:tcBorders>
                    <w:tl2br w:val="nil"/>
                    <w:tr2bl w:val="nil"/>
                  </w:tcBorders>
                  <w:vAlign w:val="center"/>
                </w:tcPr>
                <w:p w14:paraId="1E4EE2F4">
                  <w:pPr>
                    <w:spacing w:line="340" w:lineRule="exact"/>
                    <w:ind w:firstLine="0" w:firstLineChars="0"/>
                    <w:jc w:val="center"/>
                    <w:rPr>
                      <w:sz w:val="21"/>
                      <w:szCs w:val="21"/>
                      <w:lang w:bidi="ar"/>
                    </w:rPr>
                  </w:pPr>
                  <w:r>
                    <w:rPr>
                      <w:rFonts w:hint="eastAsia"/>
                      <w:sz w:val="21"/>
                      <w:szCs w:val="21"/>
                      <w:lang w:bidi="ar"/>
                    </w:rPr>
                    <w:t>9</w:t>
                  </w:r>
                  <w:r>
                    <w:rPr>
                      <w:rFonts w:hint="eastAsia"/>
                      <w:sz w:val="21"/>
                      <w:szCs w:val="21"/>
                      <w:lang w:val="en-US" w:eastAsia="zh-CN" w:bidi="ar"/>
                    </w:rPr>
                    <w:t>9</w:t>
                  </w:r>
                  <w:r>
                    <w:rPr>
                      <w:rFonts w:hint="eastAsia"/>
                      <w:sz w:val="21"/>
                      <w:szCs w:val="21"/>
                      <w:lang w:bidi="ar"/>
                    </w:rPr>
                    <w:t>%</w:t>
                  </w:r>
                </w:p>
              </w:tc>
              <w:tc>
                <w:tcPr>
                  <w:tcW w:w="0" w:type="auto"/>
                  <w:tcBorders>
                    <w:tl2br w:val="nil"/>
                    <w:tr2bl w:val="nil"/>
                  </w:tcBorders>
                  <w:vAlign w:val="center"/>
                </w:tcPr>
                <w:p w14:paraId="6D480D5B">
                  <w:pPr>
                    <w:spacing w:line="340" w:lineRule="exact"/>
                    <w:ind w:firstLine="0" w:firstLineChars="0"/>
                    <w:jc w:val="center"/>
                    <w:rPr>
                      <w:sz w:val="21"/>
                      <w:szCs w:val="21"/>
                      <w:lang w:bidi="ar"/>
                    </w:rPr>
                  </w:pPr>
                  <w:r>
                    <w:rPr>
                      <w:rFonts w:hint="eastAsia"/>
                      <w:sz w:val="21"/>
                      <w:szCs w:val="21"/>
                      <w:lang w:bidi="ar"/>
                    </w:rPr>
                    <w:t>是</w:t>
                  </w:r>
                </w:p>
              </w:tc>
              <w:tc>
                <w:tcPr>
                  <w:tcW w:w="0" w:type="auto"/>
                  <w:tcBorders>
                    <w:tl2br w:val="nil"/>
                    <w:tr2bl w:val="nil"/>
                  </w:tcBorders>
                  <w:shd w:val="clear" w:color="auto" w:fill="auto"/>
                  <w:vAlign w:val="center"/>
                </w:tcPr>
                <w:p w14:paraId="3542B08A">
                  <w:pPr>
                    <w:spacing w:line="340" w:lineRule="exact"/>
                    <w:ind w:firstLine="0" w:firstLineChars="0"/>
                    <w:jc w:val="center"/>
                    <w:rPr>
                      <w:rFonts w:hint="default" w:ascii="Times New Roman" w:hAnsi="Times New Roman" w:eastAsia="宋体" w:cs="Times New Roman"/>
                      <w:kern w:val="2"/>
                      <w:sz w:val="21"/>
                      <w:szCs w:val="21"/>
                      <w:lang w:val="en-US" w:eastAsia="zh-CN" w:bidi="ar"/>
                    </w:rPr>
                  </w:pPr>
                  <w:r>
                    <w:rPr>
                      <w:rFonts w:hint="eastAsia" w:cs="Times New Roman"/>
                      <w:kern w:val="2"/>
                      <w:sz w:val="21"/>
                      <w:szCs w:val="21"/>
                      <w:lang w:val="en-US" w:eastAsia="zh-CN" w:bidi="ar"/>
                    </w:rPr>
                    <w:t>0.7</w:t>
                  </w:r>
                </w:p>
              </w:tc>
              <w:tc>
                <w:tcPr>
                  <w:tcW w:w="0" w:type="auto"/>
                  <w:tcBorders>
                    <w:tl2br w:val="nil"/>
                    <w:tr2bl w:val="nil"/>
                  </w:tcBorders>
                  <w:shd w:val="clear" w:color="auto" w:fill="auto"/>
                  <w:vAlign w:val="center"/>
                </w:tcPr>
                <w:p w14:paraId="6998999E">
                  <w:pPr>
                    <w:spacing w:line="340" w:lineRule="exact"/>
                    <w:ind w:firstLine="0" w:firstLineChars="0"/>
                    <w:jc w:val="center"/>
                    <w:rPr>
                      <w:rFonts w:hint="default" w:ascii="Times New Roman" w:hAnsi="Times New Roman" w:eastAsia="宋体" w:cs="Times New Roman"/>
                      <w:kern w:val="2"/>
                      <w:sz w:val="21"/>
                      <w:szCs w:val="21"/>
                      <w:lang w:val="en-US" w:eastAsia="zh-CN" w:bidi="ar"/>
                    </w:rPr>
                  </w:pPr>
                  <w:r>
                    <w:rPr>
                      <w:rFonts w:hint="eastAsia" w:cs="Times New Roman"/>
                      <w:kern w:val="2"/>
                      <w:sz w:val="21"/>
                      <w:szCs w:val="21"/>
                      <w:lang w:val="en-US" w:eastAsia="zh-CN" w:bidi="ar"/>
                    </w:rPr>
                    <w:t>0.007</w:t>
                  </w:r>
                </w:p>
              </w:tc>
              <w:tc>
                <w:tcPr>
                  <w:tcW w:w="0" w:type="auto"/>
                  <w:tcBorders>
                    <w:tl2br w:val="nil"/>
                    <w:tr2bl w:val="nil"/>
                  </w:tcBorders>
                  <w:shd w:val="clear" w:color="auto" w:fill="auto"/>
                  <w:vAlign w:val="center"/>
                </w:tcPr>
                <w:p w14:paraId="3E5EEE8D">
                  <w:pPr>
                    <w:spacing w:line="340" w:lineRule="exact"/>
                    <w:ind w:firstLine="0" w:firstLineChars="0"/>
                    <w:jc w:val="center"/>
                    <w:rPr>
                      <w:rFonts w:ascii="Times New Roman" w:hAnsi="Times New Roman" w:eastAsia="宋体" w:cs="Times New Roman"/>
                      <w:kern w:val="2"/>
                      <w:sz w:val="21"/>
                      <w:szCs w:val="21"/>
                      <w:lang w:val="en-US" w:eastAsia="zh-CN" w:bidi="ar"/>
                    </w:rPr>
                  </w:pPr>
                  <w:r>
                    <w:rPr>
                      <w:rFonts w:hint="eastAsia"/>
                    </w:rPr>
                    <w:t>0.0</w:t>
                  </w:r>
                  <w:r>
                    <w:rPr>
                      <w:rFonts w:hint="eastAsia"/>
                      <w:lang w:val="en-US" w:eastAsia="zh-CN"/>
                    </w:rPr>
                    <w:t>176</w:t>
                  </w:r>
                </w:p>
              </w:tc>
              <w:tc>
                <w:tcPr>
                  <w:tcW w:w="0" w:type="auto"/>
                  <w:vMerge w:val="continue"/>
                  <w:tcBorders>
                    <w:tl2br w:val="nil"/>
                    <w:tr2bl w:val="nil"/>
                  </w:tcBorders>
                  <w:vAlign w:val="center"/>
                </w:tcPr>
                <w:p w14:paraId="05C2ADC6">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6612A264">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5E36C570">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7421A34D">
                  <w:pPr>
                    <w:spacing w:line="340" w:lineRule="exact"/>
                    <w:ind w:firstLine="0" w:firstLineChars="0"/>
                    <w:jc w:val="center"/>
                    <w:rPr>
                      <w:color w:val="FF0000"/>
                      <w:sz w:val="21"/>
                      <w:szCs w:val="21"/>
                      <w:lang w:bidi="ar"/>
                    </w:rPr>
                  </w:pPr>
                </w:p>
              </w:tc>
              <w:tc>
                <w:tcPr>
                  <w:tcW w:w="0" w:type="auto"/>
                  <w:tcBorders>
                    <w:tl2br w:val="nil"/>
                    <w:tr2bl w:val="nil"/>
                  </w:tcBorders>
                  <w:vAlign w:val="center"/>
                </w:tcPr>
                <w:p w14:paraId="0306A2C9">
                  <w:pPr>
                    <w:spacing w:line="340" w:lineRule="exact"/>
                    <w:ind w:firstLine="0" w:firstLineChars="0"/>
                    <w:jc w:val="center"/>
                    <w:rPr>
                      <w:sz w:val="21"/>
                      <w:szCs w:val="21"/>
                      <w:lang w:bidi="ar"/>
                    </w:rPr>
                  </w:pPr>
                  <w:r>
                    <w:rPr>
                      <w:rFonts w:hint="eastAsia"/>
                      <w:sz w:val="21"/>
                      <w:szCs w:val="21"/>
                      <w:lang w:bidi="ar"/>
                    </w:rPr>
                    <w:t>10</w:t>
                  </w:r>
                </w:p>
              </w:tc>
            </w:tr>
            <w:tr w14:paraId="7D7D0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0" w:type="auto"/>
                  <w:vMerge w:val="continue"/>
                  <w:tcBorders>
                    <w:tl2br w:val="nil"/>
                    <w:tr2bl w:val="nil"/>
                  </w:tcBorders>
                  <w:vAlign w:val="center"/>
                </w:tcPr>
                <w:p w14:paraId="6EAB580B">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249C0A45">
                  <w:pPr>
                    <w:spacing w:line="340" w:lineRule="exact"/>
                    <w:ind w:firstLine="0" w:firstLineChars="0"/>
                    <w:jc w:val="center"/>
                    <w:rPr>
                      <w:sz w:val="21"/>
                      <w:szCs w:val="21"/>
                      <w:lang w:bidi="ar"/>
                    </w:rPr>
                  </w:pPr>
                </w:p>
              </w:tc>
              <w:tc>
                <w:tcPr>
                  <w:tcW w:w="0" w:type="auto"/>
                  <w:tcBorders>
                    <w:tl2br w:val="nil"/>
                    <w:tr2bl w:val="nil"/>
                  </w:tcBorders>
                  <w:vAlign w:val="center"/>
                </w:tcPr>
                <w:p w14:paraId="37676889">
                  <w:pPr>
                    <w:spacing w:line="340" w:lineRule="exact"/>
                    <w:ind w:firstLine="0" w:firstLineChars="0"/>
                    <w:jc w:val="center"/>
                    <w:rPr>
                      <w:sz w:val="21"/>
                      <w:szCs w:val="21"/>
                      <w:lang w:bidi="ar"/>
                    </w:rPr>
                  </w:pPr>
                  <w:r>
                    <w:rPr>
                      <w:rFonts w:hint="eastAsia"/>
                      <w:sz w:val="21"/>
                      <w:szCs w:val="21"/>
                      <w:lang w:bidi="ar"/>
                    </w:rPr>
                    <w:t>/</w:t>
                  </w:r>
                </w:p>
              </w:tc>
              <w:tc>
                <w:tcPr>
                  <w:tcW w:w="1276" w:type="dxa"/>
                  <w:tcBorders>
                    <w:tl2br w:val="nil"/>
                    <w:tr2bl w:val="nil"/>
                  </w:tcBorders>
                  <w:vAlign w:val="center"/>
                </w:tcPr>
                <w:p w14:paraId="1C6DBA20">
                  <w:pPr>
                    <w:spacing w:line="340" w:lineRule="exact"/>
                    <w:ind w:firstLine="0" w:firstLineChars="0"/>
                    <w:jc w:val="center"/>
                    <w:rPr>
                      <w:sz w:val="21"/>
                      <w:szCs w:val="21"/>
                      <w:lang w:bidi="ar"/>
                    </w:rPr>
                  </w:pPr>
                  <w:r>
                    <w:rPr>
                      <w:rFonts w:hint="eastAsia"/>
                      <w:sz w:val="21"/>
                      <w:szCs w:val="21"/>
                      <w:lang w:bidi="ar"/>
                    </w:rPr>
                    <w:t>/</w:t>
                  </w:r>
                </w:p>
              </w:tc>
              <w:tc>
                <w:tcPr>
                  <w:tcW w:w="1013" w:type="dxa"/>
                  <w:tcBorders>
                    <w:tl2br w:val="nil"/>
                    <w:tr2bl w:val="nil"/>
                  </w:tcBorders>
                  <w:vAlign w:val="center"/>
                </w:tcPr>
                <w:p w14:paraId="05D17985">
                  <w:pPr>
                    <w:spacing w:line="340" w:lineRule="exact"/>
                    <w:ind w:firstLine="0" w:firstLineChars="0"/>
                    <w:jc w:val="center"/>
                    <w:rPr>
                      <w:sz w:val="21"/>
                      <w:szCs w:val="21"/>
                      <w:lang w:bidi="ar"/>
                    </w:rPr>
                  </w:pPr>
                  <w:r>
                    <w:rPr>
                      <w:rFonts w:hint="eastAsia"/>
                      <w:sz w:val="21"/>
                      <w:szCs w:val="21"/>
                      <w:lang w:bidi="ar"/>
                    </w:rPr>
                    <w:t>0.081</w:t>
                  </w:r>
                </w:p>
              </w:tc>
              <w:tc>
                <w:tcPr>
                  <w:tcW w:w="0" w:type="auto"/>
                  <w:tcBorders>
                    <w:tl2br w:val="nil"/>
                    <w:tr2bl w:val="nil"/>
                  </w:tcBorders>
                  <w:vAlign w:val="center"/>
                </w:tcPr>
                <w:p w14:paraId="4886FD0F">
                  <w:pPr>
                    <w:spacing w:line="340" w:lineRule="exact"/>
                    <w:ind w:firstLine="0" w:firstLineChars="0"/>
                    <w:jc w:val="center"/>
                    <w:rPr>
                      <w:sz w:val="21"/>
                      <w:szCs w:val="21"/>
                      <w:lang w:bidi="ar"/>
                    </w:rPr>
                  </w:pPr>
                  <w:r>
                    <w:rPr>
                      <w:rFonts w:hint="eastAsia"/>
                      <w:sz w:val="21"/>
                      <w:szCs w:val="21"/>
                      <w:lang w:bidi="ar"/>
                    </w:rPr>
                    <w:t>0.195</w:t>
                  </w:r>
                </w:p>
              </w:tc>
              <w:tc>
                <w:tcPr>
                  <w:tcW w:w="0" w:type="auto"/>
                  <w:tcBorders>
                    <w:tl2br w:val="nil"/>
                    <w:tr2bl w:val="nil"/>
                  </w:tcBorders>
                  <w:vAlign w:val="center"/>
                </w:tcPr>
                <w:p w14:paraId="789BD4B4">
                  <w:pPr>
                    <w:spacing w:line="340" w:lineRule="exact"/>
                    <w:ind w:firstLine="0" w:firstLineChars="0"/>
                    <w:jc w:val="center"/>
                    <w:rPr>
                      <w:sz w:val="21"/>
                      <w:szCs w:val="21"/>
                      <w:lang w:bidi="ar"/>
                    </w:rPr>
                  </w:pPr>
                  <w:r>
                    <w:rPr>
                      <w:rFonts w:hint="eastAsia"/>
                      <w:sz w:val="21"/>
                      <w:szCs w:val="21"/>
                      <w:lang w:bidi="ar"/>
                    </w:rPr>
                    <w:t>无组织</w:t>
                  </w:r>
                </w:p>
              </w:tc>
              <w:tc>
                <w:tcPr>
                  <w:tcW w:w="0" w:type="auto"/>
                  <w:tcBorders>
                    <w:tl2br w:val="nil"/>
                    <w:tr2bl w:val="nil"/>
                  </w:tcBorders>
                  <w:vAlign w:val="center"/>
                </w:tcPr>
                <w:p w14:paraId="3CAB17CA">
                  <w:pPr>
                    <w:spacing w:line="340" w:lineRule="exact"/>
                    <w:ind w:firstLine="0" w:firstLineChars="0"/>
                    <w:jc w:val="center"/>
                    <w:rPr>
                      <w:sz w:val="21"/>
                      <w:szCs w:val="21"/>
                      <w:lang w:bidi="ar"/>
                    </w:rPr>
                  </w:pPr>
                  <w:r>
                    <w:rPr>
                      <w:rFonts w:hint="eastAsia"/>
                      <w:sz w:val="21"/>
                      <w:szCs w:val="21"/>
                      <w:lang w:bidi="ar"/>
                    </w:rPr>
                    <w:t>密闭车间</w:t>
                  </w:r>
                </w:p>
              </w:tc>
              <w:tc>
                <w:tcPr>
                  <w:tcW w:w="0" w:type="auto"/>
                  <w:tcBorders>
                    <w:tl2br w:val="nil"/>
                    <w:tr2bl w:val="nil"/>
                  </w:tcBorders>
                  <w:vAlign w:val="center"/>
                </w:tcPr>
                <w:p w14:paraId="294D6E16">
                  <w:pPr>
                    <w:spacing w:line="340" w:lineRule="exact"/>
                    <w:ind w:firstLine="0" w:firstLineChars="0"/>
                    <w:jc w:val="center"/>
                    <w:rPr>
                      <w:sz w:val="21"/>
                      <w:szCs w:val="21"/>
                      <w:lang w:bidi="ar"/>
                    </w:rPr>
                  </w:pPr>
                  <w:r>
                    <w:rPr>
                      <w:rFonts w:hint="eastAsia"/>
                      <w:sz w:val="21"/>
                      <w:szCs w:val="21"/>
                      <w:lang w:bidi="ar"/>
                    </w:rPr>
                    <w:t>/</w:t>
                  </w:r>
                </w:p>
              </w:tc>
              <w:tc>
                <w:tcPr>
                  <w:tcW w:w="0" w:type="auto"/>
                  <w:tcBorders>
                    <w:tl2br w:val="nil"/>
                    <w:tr2bl w:val="nil"/>
                  </w:tcBorders>
                  <w:vAlign w:val="center"/>
                </w:tcPr>
                <w:p w14:paraId="7F5445A5">
                  <w:pPr>
                    <w:spacing w:line="340" w:lineRule="exact"/>
                    <w:ind w:firstLine="0" w:firstLineChars="0"/>
                    <w:jc w:val="center"/>
                    <w:rPr>
                      <w:sz w:val="21"/>
                      <w:szCs w:val="21"/>
                      <w:lang w:bidi="ar"/>
                    </w:rPr>
                  </w:pPr>
                  <w:r>
                    <w:rPr>
                      <w:rFonts w:hint="eastAsia"/>
                      <w:sz w:val="21"/>
                      <w:szCs w:val="21"/>
                      <w:lang w:bidi="ar"/>
                    </w:rPr>
                    <w:t>/</w:t>
                  </w:r>
                </w:p>
              </w:tc>
              <w:tc>
                <w:tcPr>
                  <w:tcW w:w="0" w:type="auto"/>
                  <w:tcBorders>
                    <w:tl2br w:val="nil"/>
                    <w:tr2bl w:val="nil"/>
                  </w:tcBorders>
                  <w:vAlign w:val="center"/>
                </w:tcPr>
                <w:p w14:paraId="30C81E80">
                  <w:pPr>
                    <w:spacing w:line="340" w:lineRule="exact"/>
                    <w:ind w:firstLine="0" w:firstLineChars="0"/>
                    <w:jc w:val="center"/>
                    <w:rPr>
                      <w:sz w:val="21"/>
                      <w:szCs w:val="21"/>
                      <w:lang w:bidi="ar"/>
                    </w:rPr>
                  </w:pPr>
                  <w:r>
                    <w:rPr>
                      <w:rFonts w:hint="eastAsia"/>
                      <w:sz w:val="21"/>
                      <w:szCs w:val="21"/>
                      <w:lang w:bidi="ar"/>
                    </w:rPr>
                    <w:t>是</w:t>
                  </w:r>
                </w:p>
              </w:tc>
              <w:tc>
                <w:tcPr>
                  <w:tcW w:w="0" w:type="auto"/>
                  <w:tcBorders>
                    <w:tl2br w:val="nil"/>
                    <w:tr2bl w:val="nil"/>
                  </w:tcBorders>
                  <w:vAlign w:val="center"/>
                </w:tcPr>
                <w:p w14:paraId="4DAF0085">
                  <w:pPr>
                    <w:spacing w:line="340" w:lineRule="exact"/>
                    <w:ind w:firstLine="0" w:firstLineChars="0"/>
                    <w:jc w:val="center"/>
                    <w:rPr>
                      <w:sz w:val="21"/>
                      <w:szCs w:val="21"/>
                      <w:lang w:bidi="ar"/>
                    </w:rPr>
                  </w:pPr>
                  <w:r>
                    <w:rPr>
                      <w:rFonts w:hint="eastAsia"/>
                      <w:sz w:val="21"/>
                      <w:szCs w:val="21"/>
                      <w:lang w:bidi="ar"/>
                    </w:rPr>
                    <w:t>/</w:t>
                  </w:r>
                </w:p>
              </w:tc>
              <w:tc>
                <w:tcPr>
                  <w:tcW w:w="0" w:type="auto"/>
                  <w:tcBorders>
                    <w:tl2br w:val="nil"/>
                    <w:tr2bl w:val="nil"/>
                  </w:tcBorders>
                  <w:shd w:val="clear" w:color="auto" w:fill="auto"/>
                  <w:vAlign w:val="center"/>
                </w:tcPr>
                <w:p w14:paraId="7B8BDA8B">
                  <w:pPr>
                    <w:spacing w:line="340" w:lineRule="exact"/>
                    <w:ind w:firstLine="0" w:firstLineChars="0"/>
                    <w:jc w:val="center"/>
                    <w:rPr>
                      <w:rFonts w:ascii="Times New Roman" w:hAnsi="Times New Roman" w:eastAsia="宋体" w:cs="Times New Roman"/>
                      <w:kern w:val="2"/>
                      <w:sz w:val="21"/>
                      <w:szCs w:val="21"/>
                      <w:lang w:val="en-US" w:eastAsia="zh-CN" w:bidi="ar"/>
                    </w:rPr>
                  </w:pPr>
                  <w:r>
                    <w:rPr>
                      <w:rFonts w:hint="eastAsia"/>
                      <w:sz w:val="21"/>
                      <w:szCs w:val="21"/>
                      <w:lang w:bidi="ar"/>
                    </w:rPr>
                    <w:t>0.081</w:t>
                  </w:r>
                </w:p>
              </w:tc>
              <w:tc>
                <w:tcPr>
                  <w:tcW w:w="0" w:type="auto"/>
                  <w:tcBorders>
                    <w:tl2br w:val="nil"/>
                    <w:tr2bl w:val="nil"/>
                  </w:tcBorders>
                  <w:shd w:val="clear" w:color="auto" w:fill="auto"/>
                  <w:vAlign w:val="center"/>
                </w:tcPr>
                <w:p w14:paraId="28B83B1D">
                  <w:pPr>
                    <w:spacing w:line="340" w:lineRule="exact"/>
                    <w:ind w:firstLine="0" w:firstLineChars="0"/>
                    <w:jc w:val="center"/>
                    <w:rPr>
                      <w:sz w:val="21"/>
                      <w:szCs w:val="21"/>
                      <w:lang w:bidi="ar"/>
                    </w:rPr>
                  </w:pPr>
                  <w:r>
                    <w:rPr>
                      <w:rFonts w:hint="eastAsia"/>
                      <w:sz w:val="21"/>
                      <w:szCs w:val="21"/>
                      <w:lang w:bidi="ar"/>
                    </w:rPr>
                    <w:t>0.195</w:t>
                  </w:r>
                </w:p>
              </w:tc>
              <w:tc>
                <w:tcPr>
                  <w:tcW w:w="0" w:type="auto"/>
                  <w:vMerge w:val="continue"/>
                  <w:tcBorders>
                    <w:tl2br w:val="nil"/>
                    <w:tr2bl w:val="nil"/>
                  </w:tcBorders>
                  <w:vAlign w:val="center"/>
                </w:tcPr>
                <w:p w14:paraId="5A8550AE">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3B814858">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6B53774A">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61C257D4">
                  <w:pPr>
                    <w:spacing w:line="340" w:lineRule="exact"/>
                    <w:ind w:firstLine="0" w:firstLineChars="0"/>
                    <w:jc w:val="center"/>
                    <w:rPr>
                      <w:color w:val="FF0000"/>
                      <w:sz w:val="21"/>
                      <w:szCs w:val="21"/>
                      <w:lang w:bidi="ar"/>
                    </w:rPr>
                  </w:pPr>
                </w:p>
              </w:tc>
              <w:tc>
                <w:tcPr>
                  <w:tcW w:w="0" w:type="auto"/>
                  <w:tcBorders>
                    <w:tl2br w:val="nil"/>
                    <w:tr2bl w:val="nil"/>
                  </w:tcBorders>
                  <w:vAlign w:val="center"/>
                </w:tcPr>
                <w:p w14:paraId="5A5B7654">
                  <w:pPr>
                    <w:spacing w:line="340" w:lineRule="exact"/>
                    <w:ind w:firstLine="0" w:firstLineChars="0"/>
                    <w:jc w:val="center"/>
                    <w:rPr>
                      <w:sz w:val="21"/>
                      <w:szCs w:val="21"/>
                      <w:lang w:bidi="ar"/>
                    </w:rPr>
                  </w:pPr>
                  <w:r>
                    <w:rPr>
                      <w:rFonts w:hint="eastAsia"/>
                      <w:sz w:val="21"/>
                      <w:szCs w:val="21"/>
                      <w:lang w:bidi="ar"/>
                    </w:rPr>
                    <w:t>0.5</w:t>
                  </w:r>
                </w:p>
              </w:tc>
            </w:tr>
            <w:tr w14:paraId="52D5A3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0" w:type="auto"/>
                  <w:vMerge w:val="restart"/>
                  <w:tcBorders>
                    <w:tl2br w:val="nil"/>
                    <w:tr2bl w:val="nil"/>
                  </w:tcBorders>
                  <w:vAlign w:val="center"/>
                </w:tcPr>
                <w:p w14:paraId="72E7E3A6">
                  <w:pPr>
                    <w:spacing w:line="340" w:lineRule="exact"/>
                    <w:ind w:firstLine="0" w:firstLineChars="0"/>
                    <w:jc w:val="center"/>
                    <w:rPr>
                      <w:sz w:val="21"/>
                      <w:szCs w:val="21"/>
                      <w:lang w:bidi="ar"/>
                    </w:rPr>
                  </w:pPr>
                  <w:r>
                    <w:rPr>
                      <w:rFonts w:hint="eastAsia"/>
                      <w:sz w:val="21"/>
                      <w:szCs w:val="21"/>
                      <w:lang w:bidi="ar"/>
                    </w:rPr>
                    <w:t>合计</w:t>
                  </w:r>
                </w:p>
              </w:tc>
              <w:tc>
                <w:tcPr>
                  <w:tcW w:w="0" w:type="auto"/>
                  <w:vMerge w:val="restart"/>
                  <w:tcBorders>
                    <w:tl2br w:val="nil"/>
                    <w:tr2bl w:val="nil"/>
                  </w:tcBorders>
                  <w:vAlign w:val="center"/>
                </w:tcPr>
                <w:p w14:paraId="450649D1">
                  <w:pPr>
                    <w:spacing w:line="340" w:lineRule="exact"/>
                    <w:ind w:firstLine="0" w:firstLineChars="0"/>
                    <w:jc w:val="center"/>
                    <w:rPr>
                      <w:sz w:val="21"/>
                      <w:szCs w:val="21"/>
                      <w:lang w:bidi="ar"/>
                    </w:rPr>
                  </w:pPr>
                  <w:r>
                    <w:rPr>
                      <w:rFonts w:hint="eastAsia"/>
                      <w:sz w:val="21"/>
                      <w:szCs w:val="21"/>
                      <w:lang w:bidi="ar"/>
                    </w:rPr>
                    <w:t>颗粒物</w:t>
                  </w:r>
                </w:p>
              </w:tc>
              <w:tc>
                <w:tcPr>
                  <w:tcW w:w="0" w:type="auto"/>
                  <w:tcBorders>
                    <w:tl2br w:val="nil"/>
                    <w:tr2bl w:val="nil"/>
                  </w:tcBorders>
                  <w:vAlign w:val="center"/>
                </w:tcPr>
                <w:p w14:paraId="6A8A9F51">
                  <w:pPr>
                    <w:spacing w:line="340" w:lineRule="exact"/>
                    <w:ind w:firstLine="0" w:firstLineChars="0"/>
                    <w:jc w:val="center"/>
                    <w:rPr>
                      <w:sz w:val="21"/>
                      <w:szCs w:val="21"/>
                      <w:lang w:bidi="ar"/>
                    </w:rPr>
                  </w:pPr>
                  <w:r>
                    <w:rPr>
                      <w:rFonts w:hint="eastAsia"/>
                      <w:sz w:val="21"/>
                      <w:szCs w:val="21"/>
                      <w:lang w:bidi="ar"/>
                    </w:rPr>
                    <w:t>10000</w:t>
                  </w:r>
                </w:p>
              </w:tc>
              <w:tc>
                <w:tcPr>
                  <w:tcW w:w="1276" w:type="dxa"/>
                  <w:tcBorders>
                    <w:tl2br w:val="nil"/>
                    <w:tr2bl w:val="nil"/>
                  </w:tcBorders>
                  <w:vAlign w:val="center"/>
                </w:tcPr>
                <w:p w14:paraId="1DBCE247">
                  <w:pPr>
                    <w:spacing w:line="340" w:lineRule="exact"/>
                    <w:ind w:firstLine="0" w:firstLineChars="0"/>
                    <w:jc w:val="center"/>
                    <w:rPr>
                      <w:color w:val="FF0000"/>
                      <w:sz w:val="21"/>
                      <w:szCs w:val="21"/>
                      <w:lang w:bidi="ar"/>
                    </w:rPr>
                  </w:pPr>
                  <w:r>
                    <w:rPr>
                      <w:rFonts w:hint="eastAsia"/>
                      <w:sz w:val="21"/>
                      <w:szCs w:val="21"/>
                      <w:lang w:bidi="ar"/>
                    </w:rPr>
                    <w:t>395</w:t>
                  </w:r>
                </w:p>
              </w:tc>
              <w:tc>
                <w:tcPr>
                  <w:tcW w:w="1013" w:type="dxa"/>
                  <w:tcBorders>
                    <w:tl2br w:val="nil"/>
                    <w:tr2bl w:val="nil"/>
                  </w:tcBorders>
                  <w:vAlign w:val="center"/>
                </w:tcPr>
                <w:p w14:paraId="084382DC">
                  <w:pPr>
                    <w:spacing w:line="340" w:lineRule="exact"/>
                    <w:ind w:firstLine="0" w:firstLineChars="0"/>
                    <w:jc w:val="center"/>
                    <w:rPr>
                      <w:sz w:val="21"/>
                      <w:szCs w:val="21"/>
                      <w:lang w:bidi="ar"/>
                    </w:rPr>
                  </w:pPr>
                  <w:r>
                    <w:rPr>
                      <w:rFonts w:hint="eastAsia"/>
                      <w:sz w:val="21"/>
                      <w:szCs w:val="21"/>
                      <w:lang w:bidi="ar"/>
                    </w:rPr>
                    <w:t>3.95</w:t>
                  </w:r>
                </w:p>
              </w:tc>
              <w:tc>
                <w:tcPr>
                  <w:tcW w:w="0" w:type="auto"/>
                  <w:tcBorders>
                    <w:tl2br w:val="nil"/>
                    <w:tr2bl w:val="nil"/>
                  </w:tcBorders>
                  <w:vAlign w:val="center"/>
                </w:tcPr>
                <w:p w14:paraId="72D83BE5">
                  <w:pPr>
                    <w:spacing w:line="340" w:lineRule="exact"/>
                    <w:ind w:firstLine="0" w:firstLineChars="0"/>
                    <w:jc w:val="center"/>
                    <w:rPr>
                      <w:sz w:val="21"/>
                      <w:szCs w:val="21"/>
                      <w:lang w:bidi="ar"/>
                    </w:rPr>
                  </w:pPr>
                  <w:r>
                    <w:rPr>
                      <w:rFonts w:hint="eastAsia"/>
                      <w:sz w:val="21"/>
                      <w:szCs w:val="21"/>
                      <w:lang w:bidi="ar"/>
                    </w:rPr>
                    <w:t>9.48</w:t>
                  </w:r>
                </w:p>
              </w:tc>
              <w:tc>
                <w:tcPr>
                  <w:tcW w:w="0" w:type="auto"/>
                  <w:tcBorders>
                    <w:tl2br w:val="nil"/>
                    <w:tr2bl w:val="nil"/>
                  </w:tcBorders>
                  <w:vAlign w:val="center"/>
                </w:tcPr>
                <w:p w14:paraId="16DFE133">
                  <w:pPr>
                    <w:spacing w:line="340" w:lineRule="exact"/>
                    <w:ind w:firstLine="0" w:firstLineChars="0"/>
                    <w:jc w:val="center"/>
                    <w:rPr>
                      <w:sz w:val="21"/>
                      <w:szCs w:val="21"/>
                      <w:lang w:bidi="ar"/>
                    </w:rPr>
                  </w:pPr>
                  <w:r>
                    <w:rPr>
                      <w:rFonts w:hint="eastAsia"/>
                      <w:sz w:val="21"/>
                      <w:szCs w:val="21"/>
                      <w:lang w:bidi="ar"/>
                    </w:rPr>
                    <w:t>有组织</w:t>
                  </w:r>
                </w:p>
              </w:tc>
              <w:tc>
                <w:tcPr>
                  <w:tcW w:w="0" w:type="auto"/>
                  <w:tcBorders>
                    <w:tl2br w:val="nil"/>
                    <w:tr2bl w:val="nil"/>
                  </w:tcBorders>
                  <w:vAlign w:val="center"/>
                </w:tcPr>
                <w:p w14:paraId="2ADF09E6">
                  <w:pPr>
                    <w:spacing w:line="340" w:lineRule="exact"/>
                    <w:ind w:firstLine="0" w:firstLineChars="0"/>
                    <w:jc w:val="center"/>
                    <w:rPr>
                      <w:color w:val="FF0000"/>
                      <w:sz w:val="21"/>
                      <w:szCs w:val="21"/>
                      <w:lang w:bidi="ar"/>
                    </w:rPr>
                  </w:pPr>
                  <w:r>
                    <w:rPr>
                      <w:rFonts w:hint="eastAsia"/>
                      <w:sz w:val="21"/>
                      <w:szCs w:val="21"/>
                      <w:lang w:bidi="ar"/>
                    </w:rPr>
                    <w:t>/</w:t>
                  </w:r>
                </w:p>
              </w:tc>
              <w:tc>
                <w:tcPr>
                  <w:tcW w:w="0" w:type="auto"/>
                  <w:tcBorders>
                    <w:tl2br w:val="nil"/>
                    <w:tr2bl w:val="nil"/>
                  </w:tcBorders>
                  <w:vAlign w:val="center"/>
                </w:tcPr>
                <w:p w14:paraId="20C21A46">
                  <w:pPr>
                    <w:spacing w:line="340" w:lineRule="exact"/>
                    <w:ind w:firstLine="0" w:firstLineChars="0"/>
                    <w:jc w:val="center"/>
                    <w:rPr>
                      <w:color w:val="FF0000"/>
                      <w:sz w:val="21"/>
                      <w:szCs w:val="21"/>
                      <w:lang w:bidi="ar"/>
                    </w:rPr>
                  </w:pPr>
                  <w:r>
                    <w:rPr>
                      <w:rFonts w:hint="eastAsia"/>
                      <w:sz w:val="21"/>
                      <w:szCs w:val="21"/>
                      <w:lang w:bidi="ar"/>
                    </w:rPr>
                    <w:t>/</w:t>
                  </w:r>
                </w:p>
              </w:tc>
              <w:tc>
                <w:tcPr>
                  <w:tcW w:w="0" w:type="auto"/>
                  <w:tcBorders>
                    <w:tl2br w:val="nil"/>
                    <w:tr2bl w:val="nil"/>
                  </w:tcBorders>
                  <w:vAlign w:val="center"/>
                </w:tcPr>
                <w:p w14:paraId="5B4930B1">
                  <w:pPr>
                    <w:spacing w:line="340" w:lineRule="exact"/>
                    <w:ind w:firstLine="0" w:firstLineChars="0"/>
                    <w:jc w:val="center"/>
                    <w:rPr>
                      <w:color w:val="FF0000"/>
                      <w:sz w:val="21"/>
                      <w:szCs w:val="21"/>
                      <w:lang w:bidi="ar"/>
                    </w:rPr>
                  </w:pPr>
                  <w:r>
                    <w:rPr>
                      <w:rFonts w:hint="eastAsia"/>
                      <w:sz w:val="21"/>
                      <w:szCs w:val="21"/>
                      <w:lang w:bidi="ar"/>
                    </w:rPr>
                    <w:t>/</w:t>
                  </w:r>
                </w:p>
              </w:tc>
              <w:tc>
                <w:tcPr>
                  <w:tcW w:w="0" w:type="auto"/>
                  <w:tcBorders>
                    <w:tl2br w:val="nil"/>
                    <w:tr2bl w:val="nil"/>
                  </w:tcBorders>
                  <w:vAlign w:val="center"/>
                </w:tcPr>
                <w:p w14:paraId="3E3E81C3">
                  <w:pPr>
                    <w:spacing w:line="340" w:lineRule="exact"/>
                    <w:ind w:firstLine="0" w:firstLineChars="0"/>
                    <w:jc w:val="center"/>
                    <w:rPr>
                      <w:sz w:val="21"/>
                      <w:szCs w:val="21"/>
                      <w:lang w:bidi="ar"/>
                    </w:rPr>
                  </w:pPr>
                  <w:r>
                    <w:rPr>
                      <w:rFonts w:hint="eastAsia"/>
                      <w:sz w:val="21"/>
                      <w:szCs w:val="21"/>
                      <w:lang w:bidi="ar"/>
                    </w:rPr>
                    <w:t>/</w:t>
                  </w:r>
                </w:p>
              </w:tc>
              <w:tc>
                <w:tcPr>
                  <w:tcW w:w="0" w:type="auto"/>
                  <w:tcBorders>
                    <w:tl2br w:val="nil"/>
                    <w:tr2bl w:val="nil"/>
                  </w:tcBorders>
                  <w:vAlign w:val="center"/>
                </w:tcPr>
                <w:p w14:paraId="196FE526">
                  <w:pPr>
                    <w:spacing w:line="340" w:lineRule="exact"/>
                    <w:ind w:firstLine="0" w:firstLineChars="0"/>
                    <w:jc w:val="center"/>
                    <w:rPr>
                      <w:rFonts w:hint="default" w:eastAsia="宋体"/>
                      <w:sz w:val="21"/>
                      <w:szCs w:val="21"/>
                      <w:lang w:val="en-US" w:eastAsia="zh-CN" w:bidi="ar"/>
                    </w:rPr>
                  </w:pPr>
                  <w:r>
                    <w:rPr>
                      <w:rFonts w:hint="eastAsia"/>
                      <w:sz w:val="21"/>
                      <w:szCs w:val="21"/>
                      <w:lang w:val="en-US" w:eastAsia="zh-CN" w:bidi="ar"/>
                    </w:rPr>
                    <w:t>3.9</w:t>
                  </w:r>
                </w:p>
              </w:tc>
              <w:tc>
                <w:tcPr>
                  <w:tcW w:w="1112" w:type="dxa"/>
                  <w:tcBorders>
                    <w:tl2br w:val="nil"/>
                    <w:tr2bl w:val="nil"/>
                  </w:tcBorders>
                  <w:shd w:val="clear" w:color="auto" w:fill="auto"/>
                  <w:vAlign w:val="center"/>
                </w:tcPr>
                <w:p w14:paraId="1DB016AD">
                  <w:pPr>
                    <w:spacing w:line="340" w:lineRule="exact"/>
                    <w:ind w:firstLine="0" w:firstLineChars="0"/>
                    <w:jc w:val="center"/>
                    <w:rPr>
                      <w:rFonts w:hint="eastAsia" w:ascii="Times New Roman" w:hAnsi="Times New Roman" w:eastAsia="宋体" w:cs="Times New Roman"/>
                      <w:sz w:val="21"/>
                      <w:szCs w:val="21"/>
                      <w:lang w:val="en-US" w:eastAsia="zh-CN" w:bidi="ar"/>
                    </w:rPr>
                  </w:pPr>
                  <w:r>
                    <w:rPr>
                      <w:rFonts w:hint="default" w:ascii="Times New Roman" w:hAnsi="Times New Roman" w:eastAsia="宋体" w:cs="Times New Roman"/>
                      <w:sz w:val="21"/>
                      <w:szCs w:val="21"/>
                      <w:lang w:val="en-US" w:eastAsia="zh-CN" w:bidi="ar"/>
                    </w:rPr>
                    <w:t>0.039</w:t>
                  </w:r>
                </w:p>
              </w:tc>
              <w:tc>
                <w:tcPr>
                  <w:tcW w:w="959" w:type="dxa"/>
                  <w:tcBorders>
                    <w:tl2br w:val="nil"/>
                    <w:tr2bl w:val="nil"/>
                  </w:tcBorders>
                  <w:shd w:val="clear" w:color="auto" w:fill="auto"/>
                  <w:vAlign w:val="center"/>
                </w:tcPr>
                <w:p w14:paraId="1627F84A">
                  <w:pPr>
                    <w:spacing w:line="340" w:lineRule="exact"/>
                    <w:ind w:firstLine="0" w:firstLineChars="0"/>
                    <w:jc w:val="center"/>
                    <w:rPr>
                      <w:rFonts w:hint="eastAsia" w:ascii="Times New Roman" w:hAnsi="Times New Roman" w:eastAsia="宋体" w:cs="Times New Roman"/>
                      <w:sz w:val="21"/>
                      <w:szCs w:val="21"/>
                      <w:lang w:val="en-US" w:eastAsia="zh-CN" w:bidi="ar"/>
                    </w:rPr>
                  </w:pPr>
                  <w:r>
                    <w:rPr>
                      <w:rFonts w:hint="default" w:ascii="Times New Roman" w:hAnsi="Times New Roman" w:eastAsia="宋体" w:cs="Times New Roman"/>
                      <w:sz w:val="21"/>
                      <w:szCs w:val="21"/>
                      <w:lang w:val="en-US" w:eastAsia="zh-CN" w:bidi="ar"/>
                    </w:rPr>
                    <w:t>0.0949</w:t>
                  </w:r>
                </w:p>
              </w:tc>
              <w:tc>
                <w:tcPr>
                  <w:tcW w:w="0" w:type="auto"/>
                  <w:vMerge w:val="continue"/>
                  <w:tcBorders>
                    <w:tl2br w:val="nil"/>
                    <w:tr2bl w:val="nil"/>
                  </w:tcBorders>
                  <w:vAlign w:val="center"/>
                </w:tcPr>
                <w:p w14:paraId="29446281">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5E5F4BEC">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43914729">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1A134FEE">
                  <w:pPr>
                    <w:spacing w:line="340" w:lineRule="exact"/>
                    <w:ind w:firstLine="0" w:firstLineChars="0"/>
                    <w:jc w:val="center"/>
                    <w:rPr>
                      <w:color w:val="FF0000"/>
                      <w:sz w:val="21"/>
                      <w:szCs w:val="21"/>
                      <w:lang w:bidi="ar"/>
                    </w:rPr>
                  </w:pPr>
                </w:p>
              </w:tc>
              <w:tc>
                <w:tcPr>
                  <w:tcW w:w="0" w:type="auto"/>
                  <w:tcBorders>
                    <w:tl2br w:val="nil"/>
                    <w:tr2bl w:val="nil"/>
                  </w:tcBorders>
                  <w:vAlign w:val="center"/>
                </w:tcPr>
                <w:p w14:paraId="4792D772">
                  <w:pPr>
                    <w:spacing w:line="340" w:lineRule="exact"/>
                    <w:ind w:firstLine="0" w:firstLineChars="0"/>
                    <w:jc w:val="center"/>
                    <w:rPr>
                      <w:sz w:val="21"/>
                      <w:szCs w:val="21"/>
                      <w:lang w:bidi="ar"/>
                    </w:rPr>
                  </w:pPr>
                  <w:r>
                    <w:rPr>
                      <w:rFonts w:hint="eastAsia"/>
                      <w:sz w:val="21"/>
                      <w:szCs w:val="21"/>
                      <w:lang w:bidi="ar"/>
                    </w:rPr>
                    <w:t>10</w:t>
                  </w:r>
                </w:p>
              </w:tc>
            </w:tr>
            <w:tr w14:paraId="722946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0" w:type="auto"/>
                  <w:vMerge w:val="continue"/>
                  <w:tcBorders>
                    <w:tl2br w:val="nil"/>
                    <w:tr2bl w:val="nil"/>
                  </w:tcBorders>
                  <w:vAlign w:val="center"/>
                </w:tcPr>
                <w:p w14:paraId="7804F945">
                  <w:pPr>
                    <w:spacing w:line="340" w:lineRule="exact"/>
                    <w:ind w:firstLine="0" w:firstLineChars="0"/>
                    <w:jc w:val="center"/>
                    <w:rPr>
                      <w:sz w:val="21"/>
                      <w:szCs w:val="21"/>
                      <w:lang w:bidi="ar"/>
                    </w:rPr>
                  </w:pPr>
                </w:p>
              </w:tc>
              <w:tc>
                <w:tcPr>
                  <w:tcW w:w="0" w:type="auto"/>
                  <w:vMerge w:val="continue"/>
                  <w:tcBorders>
                    <w:tl2br w:val="nil"/>
                    <w:tr2bl w:val="nil"/>
                  </w:tcBorders>
                  <w:vAlign w:val="center"/>
                </w:tcPr>
                <w:p w14:paraId="2ABA3C91">
                  <w:pPr>
                    <w:spacing w:line="340" w:lineRule="exact"/>
                    <w:ind w:firstLine="0" w:firstLineChars="0"/>
                    <w:jc w:val="center"/>
                    <w:rPr>
                      <w:sz w:val="21"/>
                      <w:szCs w:val="21"/>
                      <w:lang w:bidi="ar"/>
                    </w:rPr>
                  </w:pPr>
                </w:p>
              </w:tc>
              <w:tc>
                <w:tcPr>
                  <w:tcW w:w="0" w:type="auto"/>
                  <w:tcBorders>
                    <w:tl2br w:val="nil"/>
                    <w:tr2bl w:val="nil"/>
                  </w:tcBorders>
                  <w:vAlign w:val="center"/>
                </w:tcPr>
                <w:p w14:paraId="2A2A3E0D">
                  <w:pPr>
                    <w:spacing w:line="340" w:lineRule="exact"/>
                    <w:ind w:firstLine="0" w:firstLineChars="0"/>
                    <w:jc w:val="center"/>
                    <w:rPr>
                      <w:sz w:val="21"/>
                      <w:szCs w:val="21"/>
                      <w:lang w:bidi="ar"/>
                    </w:rPr>
                  </w:pPr>
                  <w:r>
                    <w:rPr>
                      <w:rFonts w:hint="eastAsia"/>
                      <w:sz w:val="21"/>
                      <w:szCs w:val="21"/>
                      <w:lang w:bidi="ar"/>
                    </w:rPr>
                    <w:t>/</w:t>
                  </w:r>
                </w:p>
              </w:tc>
              <w:tc>
                <w:tcPr>
                  <w:tcW w:w="1276" w:type="dxa"/>
                  <w:tcBorders>
                    <w:tl2br w:val="nil"/>
                    <w:tr2bl w:val="nil"/>
                  </w:tcBorders>
                  <w:vAlign w:val="center"/>
                </w:tcPr>
                <w:p w14:paraId="4B6C6280">
                  <w:pPr>
                    <w:spacing w:line="340" w:lineRule="exact"/>
                    <w:ind w:firstLine="0" w:firstLineChars="0"/>
                    <w:jc w:val="center"/>
                    <w:rPr>
                      <w:color w:val="FF0000"/>
                      <w:sz w:val="21"/>
                      <w:szCs w:val="21"/>
                      <w:lang w:bidi="ar"/>
                    </w:rPr>
                  </w:pPr>
                  <w:r>
                    <w:rPr>
                      <w:rFonts w:hint="eastAsia"/>
                      <w:sz w:val="21"/>
                      <w:szCs w:val="21"/>
                      <w:lang w:bidi="ar"/>
                    </w:rPr>
                    <w:t>/</w:t>
                  </w:r>
                </w:p>
              </w:tc>
              <w:tc>
                <w:tcPr>
                  <w:tcW w:w="1013" w:type="dxa"/>
                  <w:tcBorders>
                    <w:tl2br w:val="nil"/>
                    <w:tr2bl w:val="nil"/>
                  </w:tcBorders>
                  <w:vAlign w:val="center"/>
                </w:tcPr>
                <w:p w14:paraId="1F8C2E86">
                  <w:pPr>
                    <w:spacing w:line="340" w:lineRule="exact"/>
                    <w:ind w:firstLine="0" w:firstLineChars="0"/>
                    <w:jc w:val="center"/>
                    <w:rPr>
                      <w:rFonts w:hint="default" w:eastAsia="宋体"/>
                      <w:sz w:val="21"/>
                      <w:szCs w:val="21"/>
                      <w:lang w:val="en-US" w:eastAsia="zh-CN" w:bidi="ar"/>
                    </w:rPr>
                  </w:pPr>
                  <w:r>
                    <w:rPr>
                      <w:rFonts w:hint="eastAsia"/>
                      <w:sz w:val="21"/>
                      <w:szCs w:val="21"/>
                      <w:lang w:val="en-US" w:eastAsia="zh-CN" w:bidi="ar"/>
                    </w:rPr>
                    <w:t>0.091</w:t>
                  </w:r>
                </w:p>
              </w:tc>
              <w:tc>
                <w:tcPr>
                  <w:tcW w:w="0" w:type="auto"/>
                  <w:tcBorders>
                    <w:tl2br w:val="nil"/>
                    <w:tr2bl w:val="nil"/>
                  </w:tcBorders>
                  <w:vAlign w:val="center"/>
                </w:tcPr>
                <w:p w14:paraId="351C3F95">
                  <w:pPr>
                    <w:spacing w:line="340" w:lineRule="exact"/>
                    <w:ind w:firstLine="0" w:firstLineChars="0"/>
                    <w:jc w:val="center"/>
                    <w:rPr>
                      <w:rFonts w:hint="default" w:eastAsia="宋体"/>
                      <w:sz w:val="21"/>
                      <w:szCs w:val="21"/>
                      <w:lang w:val="en-US" w:eastAsia="zh-CN" w:bidi="ar"/>
                    </w:rPr>
                  </w:pPr>
                  <w:r>
                    <w:rPr>
                      <w:rFonts w:hint="eastAsia"/>
                      <w:sz w:val="21"/>
                      <w:szCs w:val="21"/>
                      <w:lang w:val="en-US" w:eastAsia="zh-CN" w:bidi="ar"/>
                    </w:rPr>
                    <w:t>0.22</w:t>
                  </w:r>
                </w:p>
              </w:tc>
              <w:tc>
                <w:tcPr>
                  <w:tcW w:w="0" w:type="auto"/>
                  <w:tcBorders>
                    <w:tl2br w:val="nil"/>
                    <w:tr2bl w:val="nil"/>
                  </w:tcBorders>
                  <w:vAlign w:val="center"/>
                </w:tcPr>
                <w:p w14:paraId="0BB8001A">
                  <w:pPr>
                    <w:spacing w:line="340" w:lineRule="exact"/>
                    <w:ind w:firstLine="0" w:firstLineChars="0"/>
                    <w:jc w:val="center"/>
                    <w:rPr>
                      <w:sz w:val="21"/>
                      <w:szCs w:val="21"/>
                      <w:lang w:bidi="ar"/>
                    </w:rPr>
                  </w:pPr>
                  <w:r>
                    <w:rPr>
                      <w:rFonts w:hint="eastAsia"/>
                      <w:sz w:val="21"/>
                      <w:szCs w:val="21"/>
                      <w:lang w:bidi="ar"/>
                    </w:rPr>
                    <w:t>无组织</w:t>
                  </w:r>
                </w:p>
              </w:tc>
              <w:tc>
                <w:tcPr>
                  <w:tcW w:w="0" w:type="auto"/>
                  <w:tcBorders>
                    <w:tl2br w:val="nil"/>
                    <w:tr2bl w:val="nil"/>
                  </w:tcBorders>
                  <w:vAlign w:val="center"/>
                </w:tcPr>
                <w:p w14:paraId="5B305BC4">
                  <w:pPr>
                    <w:spacing w:line="340" w:lineRule="exact"/>
                    <w:ind w:firstLine="0" w:firstLineChars="0"/>
                    <w:jc w:val="center"/>
                    <w:rPr>
                      <w:color w:val="FF0000"/>
                      <w:sz w:val="21"/>
                      <w:szCs w:val="21"/>
                      <w:lang w:bidi="ar"/>
                    </w:rPr>
                  </w:pPr>
                  <w:r>
                    <w:rPr>
                      <w:rFonts w:hint="eastAsia"/>
                      <w:sz w:val="21"/>
                      <w:szCs w:val="21"/>
                      <w:lang w:bidi="ar"/>
                    </w:rPr>
                    <w:t>/</w:t>
                  </w:r>
                </w:p>
              </w:tc>
              <w:tc>
                <w:tcPr>
                  <w:tcW w:w="0" w:type="auto"/>
                  <w:tcBorders>
                    <w:tl2br w:val="nil"/>
                    <w:tr2bl w:val="nil"/>
                  </w:tcBorders>
                  <w:vAlign w:val="center"/>
                </w:tcPr>
                <w:p w14:paraId="402DEF17">
                  <w:pPr>
                    <w:spacing w:line="340" w:lineRule="exact"/>
                    <w:ind w:firstLine="0" w:firstLineChars="0"/>
                    <w:jc w:val="center"/>
                    <w:rPr>
                      <w:color w:val="FF0000"/>
                      <w:sz w:val="21"/>
                      <w:szCs w:val="21"/>
                      <w:lang w:bidi="ar"/>
                    </w:rPr>
                  </w:pPr>
                  <w:r>
                    <w:rPr>
                      <w:rFonts w:hint="eastAsia"/>
                      <w:sz w:val="21"/>
                      <w:szCs w:val="21"/>
                      <w:lang w:bidi="ar"/>
                    </w:rPr>
                    <w:t>/</w:t>
                  </w:r>
                </w:p>
              </w:tc>
              <w:tc>
                <w:tcPr>
                  <w:tcW w:w="0" w:type="auto"/>
                  <w:tcBorders>
                    <w:tl2br w:val="nil"/>
                    <w:tr2bl w:val="nil"/>
                  </w:tcBorders>
                  <w:vAlign w:val="center"/>
                </w:tcPr>
                <w:p w14:paraId="32D6F736">
                  <w:pPr>
                    <w:spacing w:line="340" w:lineRule="exact"/>
                    <w:ind w:firstLine="0" w:firstLineChars="0"/>
                    <w:jc w:val="center"/>
                    <w:rPr>
                      <w:color w:val="FF0000"/>
                      <w:sz w:val="21"/>
                      <w:szCs w:val="21"/>
                      <w:lang w:bidi="ar"/>
                    </w:rPr>
                  </w:pPr>
                  <w:r>
                    <w:rPr>
                      <w:rFonts w:hint="eastAsia"/>
                      <w:sz w:val="21"/>
                      <w:szCs w:val="21"/>
                      <w:lang w:bidi="ar"/>
                    </w:rPr>
                    <w:t>/</w:t>
                  </w:r>
                </w:p>
              </w:tc>
              <w:tc>
                <w:tcPr>
                  <w:tcW w:w="0" w:type="auto"/>
                  <w:tcBorders>
                    <w:tl2br w:val="nil"/>
                    <w:tr2bl w:val="nil"/>
                  </w:tcBorders>
                  <w:vAlign w:val="center"/>
                </w:tcPr>
                <w:p w14:paraId="4E90A28C">
                  <w:pPr>
                    <w:spacing w:line="340" w:lineRule="exact"/>
                    <w:ind w:firstLine="0" w:firstLineChars="0"/>
                    <w:jc w:val="center"/>
                    <w:rPr>
                      <w:sz w:val="21"/>
                      <w:szCs w:val="21"/>
                      <w:lang w:bidi="ar"/>
                    </w:rPr>
                  </w:pPr>
                  <w:r>
                    <w:rPr>
                      <w:rFonts w:hint="eastAsia"/>
                      <w:sz w:val="21"/>
                      <w:szCs w:val="21"/>
                      <w:lang w:bidi="ar"/>
                    </w:rPr>
                    <w:t>/</w:t>
                  </w:r>
                </w:p>
              </w:tc>
              <w:tc>
                <w:tcPr>
                  <w:tcW w:w="0" w:type="auto"/>
                  <w:tcBorders>
                    <w:tl2br w:val="nil"/>
                    <w:tr2bl w:val="nil"/>
                  </w:tcBorders>
                  <w:vAlign w:val="center"/>
                </w:tcPr>
                <w:p w14:paraId="176A9423">
                  <w:pPr>
                    <w:spacing w:line="340" w:lineRule="exact"/>
                    <w:ind w:firstLine="0" w:firstLineChars="0"/>
                    <w:jc w:val="center"/>
                    <w:rPr>
                      <w:sz w:val="21"/>
                      <w:szCs w:val="21"/>
                      <w:lang w:bidi="ar"/>
                    </w:rPr>
                  </w:pPr>
                  <w:r>
                    <w:rPr>
                      <w:rFonts w:hint="eastAsia"/>
                      <w:sz w:val="21"/>
                      <w:szCs w:val="21"/>
                      <w:lang w:bidi="ar"/>
                    </w:rPr>
                    <w:t>/</w:t>
                  </w:r>
                </w:p>
              </w:tc>
              <w:tc>
                <w:tcPr>
                  <w:tcW w:w="1112" w:type="dxa"/>
                  <w:tcBorders>
                    <w:tl2br w:val="nil"/>
                    <w:tr2bl w:val="nil"/>
                  </w:tcBorders>
                  <w:shd w:val="clear" w:color="auto" w:fill="auto"/>
                  <w:vAlign w:val="center"/>
                </w:tcPr>
                <w:p w14:paraId="70414452">
                  <w:pPr>
                    <w:spacing w:line="340" w:lineRule="exact"/>
                    <w:ind w:firstLine="0" w:firstLineChars="0"/>
                    <w:jc w:val="center"/>
                    <w:rPr>
                      <w:rFonts w:hint="eastAsia" w:ascii="Times New Roman" w:hAnsi="Times New Roman" w:eastAsia="宋体" w:cs="Times New Roman"/>
                      <w:sz w:val="21"/>
                      <w:szCs w:val="21"/>
                      <w:lang w:val="en-US" w:eastAsia="zh-CN" w:bidi="ar"/>
                    </w:rPr>
                  </w:pPr>
                  <w:r>
                    <w:rPr>
                      <w:rFonts w:hint="default" w:ascii="Times New Roman" w:hAnsi="Times New Roman" w:eastAsia="宋体" w:cs="Times New Roman"/>
                      <w:sz w:val="21"/>
                      <w:szCs w:val="21"/>
                      <w:lang w:val="en-US" w:eastAsia="zh-CN" w:bidi="ar"/>
                    </w:rPr>
                    <w:t>0.091</w:t>
                  </w:r>
                </w:p>
              </w:tc>
              <w:tc>
                <w:tcPr>
                  <w:tcW w:w="959" w:type="dxa"/>
                  <w:tcBorders>
                    <w:tl2br w:val="nil"/>
                    <w:tr2bl w:val="nil"/>
                  </w:tcBorders>
                  <w:shd w:val="clear" w:color="auto" w:fill="auto"/>
                  <w:vAlign w:val="center"/>
                </w:tcPr>
                <w:p w14:paraId="7E5D6B04">
                  <w:pPr>
                    <w:spacing w:line="340" w:lineRule="exact"/>
                    <w:ind w:firstLine="0" w:firstLineChars="0"/>
                    <w:jc w:val="center"/>
                    <w:rPr>
                      <w:rFonts w:hint="eastAsia" w:ascii="Times New Roman" w:hAnsi="Times New Roman" w:eastAsia="宋体" w:cs="Times New Roman"/>
                      <w:sz w:val="21"/>
                      <w:szCs w:val="21"/>
                      <w:lang w:val="en-US" w:eastAsia="zh-CN" w:bidi="ar"/>
                    </w:rPr>
                  </w:pPr>
                  <w:r>
                    <w:rPr>
                      <w:rFonts w:hint="default" w:ascii="Times New Roman" w:hAnsi="Times New Roman" w:eastAsia="宋体" w:cs="Times New Roman"/>
                      <w:sz w:val="21"/>
                      <w:szCs w:val="21"/>
                      <w:lang w:val="en-US" w:eastAsia="zh-CN" w:bidi="ar"/>
                    </w:rPr>
                    <w:t>0.22</w:t>
                  </w:r>
                </w:p>
              </w:tc>
              <w:tc>
                <w:tcPr>
                  <w:tcW w:w="0" w:type="auto"/>
                  <w:vMerge w:val="continue"/>
                  <w:tcBorders>
                    <w:tl2br w:val="nil"/>
                    <w:tr2bl w:val="nil"/>
                  </w:tcBorders>
                  <w:vAlign w:val="center"/>
                </w:tcPr>
                <w:p w14:paraId="23218C33">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70CFD8BD">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3C7E746C">
                  <w:pPr>
                    <w:spacing w:line="340" w:lineRule="exact"/>
                    <w:ind w:firstLine="0" w:firstLineChars="0"/>
                    <w:jc w:val="center"/>
                    <w:rPr>
                      <w:color w:val="FF0000"/>
                      <w:sz w:val="21"/>
                      <w:szCs w:val="21"/>
                      <w:lang w:bidi="ar"/>
                    </w:rPr>
                  </w:pPr>
                </w:p>
              </w:tc>
              <w:tc>
                <w:tcPr>
                  <w:tcW w:w="0" w:type="auto"/>
                  <w:vMerge w:val="continue"/>
                  <w:tcBorders>
                    <w:tl2br w:val="nil"/>
                    <w:tr2bl w:val="nil"/>
                  </w:tcBorders>
                  <w:vAlign w:val="center"/>
                </w:tcPr>
                <w:p w14:paraId="6BE9865C">
                  <w:pPr>
                    <w:spacing w:line="340" w:lineRule="exact"/>
                    <w:ind w:firstLine="0" w:firstLineChars="0"/>
                    <w:jc w:val="center"/>
                    <w:rPr>
                      <w:color w:val="FF0000"/>
                      <w:sz w:val="21"/>
                      <w:szCs w:val="21"/>
                      <w:lang w:bidi="ar"/>
                    </w:rPr>
                  </w:pPr>
                </w:p>
              </w:tc>
              <w:tc>
                <w:tcPr>
                  <w:tcW w:w="0" w:type="auto"/>
                  <w:tcBorders>
                    <w:tl2br w:val="nil"/>
                    <w:tr2bl w:val="nil"/>
                  </w:tcBorders>
                  <w:vAlign w:val="center"/>
                </w:tcPr>
                <w:p w14:paraId="514CBDDB">
                  <w:pPr>
                    <w:spacing w:line="340" w:lineRule="exact"/>
                    <w:ind w:firstLine="0" w:firstLineChars="0"/>
                    <w:jc w:val="center"/>
                    <w:rPr>
                      <w:sz w:val="21"/>
                      <w:szCs w:val="21"/>
                      <w:lang w:bidi="ar"/>
                    </w:rPr>
                  </w:pPr>
                  <w:r>
                    <w:rPr>
                      <w:rFonts w:hint="eastAsia"/>
                      <w:sz w:val="21"/>
                      <w:szCs w:val="21"/>
                      <w:lang w:bidi="ar"/>
                    </w:rPr>
                    <w:t>0.5</w:t>
                  </w:r>
                </w:p>
              </w:tc>
            </w:tr>
            <w:tr w14:paraId="570C13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0" w:type="auto"/>
                  <w:gridSpan w:val="19"/>
                  <w:tcBorders>
                    <w:tl2br w:val="nil"/>
                    <w:tr2bl w:val="nil"/>
                  </w:tcBorders>
                  <w:vAlign w:val="center"/>
                </w:tcPr>
                <w:p w14:paraId="2DE11B08">
                  <w:pPr>
                    <w:spacing w:line="340" w:lineRule="exact"/>
                    <w:ind w:firstLine="0" w:firstLineChars="0"/>
                    <w:jc w:val="left"/>
                    <w:rPr>
                      <w:rFonts w:hint="eastAsia" w:eastAsia="宋体"/>
                      <w:sz w:val="21"/>
                      <w:szCs w:val="21"/>
                      <w:lang w:eastAsia="zh-CN" w:bidi="ar"/>
                    </w:rPr>
                  </w:pPr>
                  <w:r>
                    <w:rPr>
                      <w:rFonts w:hint="eastAsia"/>
                      <w:sz w:val="21"/>
                      <w:szCs w:val="21"/>
                      <w:lang w:bidi="ar"/>
                    </w:rPr>
                    <w:t>注：排放量=（有组织产生量+无组织产生量）×收集效率×（1-处理效率）</w:t>
                  </w:r>
                  <w:r>
                    <w:rPr>
                      <w:rFonts w:hint="eastAsia"/>
                      <w:sz w:val="21"/>
                      <w:szCs w:val="21"/>
                      <w:lang w:eastAsia="zh-CN" w:bidi="ar"/>
                    </w:rPr>
                    <w:t>；</w:t>
                  </w:r>
                </w:p>
                <w:p w14:paraId="7D26F053">
                  <w:pPr>
                    <w:spacing w:line="340" w:lineRule="exact"/>
                    <w:ind w:firstLine="0" w:firstLineChars="0"/>
                    <w:jc w:val="left"/>
                    <w:rPr>
                      <w:rFonts w:hint="eastAsia"/>
                      <w:sz w:val="21"/>
                      <w:szCs w:val="21"/>
                      <w:lang w:eastAsia="zh-CN" w:bidi="ar"/>
                    </w:rPr>
                  </w:pPr>
                  <w:r>
                    <w:rPr>
                      <w:rFonts w:hint="eastAsia"/>
                      <w:sz w:val="21"/>
                      <w:szCs w:val="21"/>
                      <w:lang w:bidi="ar"/>
                    </w:rPr>
                    <w:t>排放速率=排放量×1000/（300×8），年工作300天，每日工作8小时</w:t>
                  </w:r>
                  <w:r>
                    <w:rPr>
                      <w:rFonts w:hint="eastAsia"/>
                      <w:sz w:val="21"/>
                      <w:szCs w:val="21"/>
                      <w:lang w:eastAsia="zh-CN" w:bidi="ar"/>
                    </w:rPr>
                    <w:t>；</w:t>
                  </w:r>
                </w:p>
                <w:p w14:paraId="65A5DEFD">
                  <w:pPr>
                    <w:spacing w:line="340" w:lineRule="exact"/>
                    <w:ind w:firstLine="0" w:firstLineChars="0"/>
                    <w:jc w:val="left"/>
                    <w:rPr>
                      <w:rFonts w:hint="default" w:ascii="Times New Roman" w:hAnsi="Times New Roman" w:eastAsia="宋体" w:cs="Times New Roman"/>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原料储存罐呼吸粉尘产污系数参照《排放源统计调查产排污核算方法和系数手册》中《3021水泥制品制造（含3022砼结构构件制造、3029其他水泥类似制品制造）行业系数手册》</w:t>
                  </w:r>
                  <w:r>
                    <w:rPr>
                      <w:rFonts w:hint="eastAsia" w:ascii="Times New Roman" w:hAnsi="Times New Roman" w:eastAsia="宋体" w:cs="Times New Roman"/>
                      <w:b w:val="0"/>
                      <w:bCs w:val="0"/>
                      <w:color w:val="auto"/>
                      <w:kern w:val="2"/>
                      <w:sz w:val="21"/>
                      <w:szCs w:val="21"/>
                      <w:lang w:val="en-US" w:eastAsia="zh-CN" w:bidi="ar"/>
                    </w:rPr>
                    <w:t>“</w:t>
                  </w:r>
                  <w:r>
                    <w:rPr>
                      <w:rFonts w:hint="default" w:ascii="Times New Roman" w:hAnsi="Times New Roman" w:eastAsia="宋体" w:cs="Times New Roman"/>
                      <w:b w:val="0"/>
                      <w:bCs w:val="0"/>
                      <w:color w:val="auto"/>
                      <w:kern w:val="2"/>
                      <w:sz w:val="21"/>
                      <w:szCs w:val="21"/>
                      <w:lang w:val="en-US" w:eastAsia="zh-CN" w:bidi="ar"/>
                    </w:rPr>
                    <w:t>物料输送储存工序颗粒物产污系数为0.12千克/吨-产品</w:t>
                  </w:r>
                  <w:r>
                    <w:rPr>
                      <w:rFonts w:hint="eastAsia" w:ascii="Times New Roman" w:hAnsi="Times New Roman" w:eastAsia="宋体" w:cs="Times New Roman"/>
                      <w:b w:val="0"/>
                      <w:bCs w:val="0"/>
                      <w:color w:val="auto"/>
                      <w:kern w:val="2"/>
                      <w:sz w:val="21"/>
                      <w:szCs w:val="21"/>
                      <w:lang w:val="en-US" w:eastAsia="zh-CN" w:bidi="ar"/>
                    </w:rPr>
                    <w:t>”；</w:t>
                  </w:r>
                </w:p>
                <w:p w14:paraId="5B758A6D">
                  <w:pPr>
                    <w:spacing w:line="340" w:lineRule="exact"/>
                    <w:ind w:firstLine="0" w:firstLineChars="0"/>
                    <w:jc w:val="left"/>
                    <w:rPr>
                      <w:rFonts w:hint="eastAsia" w:ascii="Times New Roman" w:hAnsi="Times New Roman" w:eastAsia="宋体" w:cs="Times New Roman"/>
                      <w:sz w:val="21"/>
                      <w:szCs w:val="21"/>
                      <w:lang w:val="en-US" w:eastAsia="zh-CN" w:bidi="ar"/>
                    </w:rPr>
                  </w:pPr>
                  <w:r>
                    <w:rPr>
                      <w:rFonts w:hint="eastAsia" w:ascii="Times New Roman" w:hAnsi="Times New Roman" w:eastAsia="宋体" w:cs="Times New Roman"/>
                      <w:sz w:val="21"/>
                      <w:szCs w:val="21"/>
                      <w:lang w:bidi="ar"/>
                    </w:rPr>
                    <w:t>投料粉尘</w:t>
                  </w:r>
                  <w:r>
                    <w:rPr>
                      <w:rFonts w:hint="default" w:ascii="Times New Roman" w:hAnsi="Times New Roman" w:eastAsia="宋体" w:cs="Times New Roman"/>
                      <w:b w:val="0"/>
                      <w:bCs w:val="0"/>
                      <w:color w:val="auto"/>
                      <w:kern w:val="2"/>
                      <w:sz w:val="21"/>
                      <w:szCs w:val="21"/>
                      <w:lang w:val="en-US" w:eastAsia="zh-CN" w:bidi="ar"/>
                    </w:rPr>
                    <w:t>产污系数参照</w:t>
                  </w:r>
                  <w:r>
                    <w:rPr>
                      <w:rFonts w:hint="eastAsia" w:ascii="宋体" w:hAnsi="宋体" w:cs="宋体"/>
                      <w:color w:val="000000"/>
                      <w:kern w:val="0"/>
                      <w:sz w:val="21"/>
                      <w:szCs w:val="21"/>
                      <w:lang w:bidi="ar"/>
                    </w:rPr>
                    <w:t>《逸散性工业粉尘控制技术》</w:t>
                  </w:r>
                  <w:r>
                    <w:rPr>
                      <w:color w:val="000000"/>
                      <w:kern w:val="0"/>
                      <w:sz w:val="21"/>
                      <w:szCs w:val="21"/>
                      <w:lang w:bidi="ar"/>
                    </w:rPr>
                    <w:t>P332</w:t>
                  </w:r>
                  <w:r>
                    <w:rPr>
                      <w:rFonts w:hint="eastAsia" w:ascii="宋体" w:hAnsi="宋体" w:cs="宋体"/>
                      <w:color w:val="000000"/>
                      <w:kern w:val="0"/>
                      <w:sz w:val="21"/>
                      <w:szCs w:val="21"/>
                      <w:lang w:bidi="ar"/>
                    </w:rPr>
                    <w:t>表</w:t>
                  </w:r>
                  <w:r>
                    <w:rPr>
                      <w:color w:val="000000"/>
                      <w:kern w:val="0"/>
                      <w:sz w:val="21"/>
                      <w:szCs w:val="21"/>
                      <w:lang w:bidi="ar"/>
                    </w:rPr>
                    <w:t>22-1</w:t>
                  </w:r>
                  <w:r>
                    <w:rPr>
                      <w:rFonts w:hint="eastAsia" w:ascii="宋体" w:hAnsi="宋体" w:cs="宋体"/>
                      <w:color w:val="000000"/>
                      <w:kern w:val="0"/>
                      <w:sz w:val="21"/>
                      <w:szCs w:val="21"/>
                      <w:lang w:bidi="ar"/>
                    </w:rPr>
                    <w:t>混凝土分批搅拌厂的</w:t>
                  </w:r>
                  <w:r>
                    <w:rPr>
                      <w:rFonts w:hint="eastAsia" w:ascii="宋体" w:hAnsi="宋体" w:cs="宋体"/>
                      <w:color w:val="000000"/>
                      <w:kern w:val="0"/>
                      <w:sz w:val="21"/>
                      <w:szCs w:val="21"/>
                      <w:lang w:eastAsia="zh-CN" w:bidi="ar"/>
                    </w:rPr>
                    <w:t>逸散</w:t>
                  </w:r>
                  <w:r>
                    <w:rPr>
                      <w:rFonts w:hint="eastAsia" w:ascii="宋体" w:hAnsi="宋体" w:cs="宋体"/>
                      <w:color w:val="000000"/>
                      <w:kern w:val="0"/>
                      <w:sz w:val="21"/>
                      <w:szCs w:val="21"/>
                      <w:lang w:bidi="ar"/>
                    </w:rPr>
                    <w:t>尘排放因子“装水泥、砂和粒料进入称量斗</w:t>
                  </w:r>
                  <w:r>
                    <w:rPr>
                      <w:color w:val="000000"/>
                      <w:kern w:val="0"/>
                      <w:sz w:val="21"/>
                      <w:szCs w:val="21"/>
                      <w:lang w:bidi="ar"/>
                    </w:rPr>
                    <w:t>0.01kg/t</w:t>
                  </w:r>
                  <w:r>
                    <w:rPr>
                      <w:rFonts w:hint="eastAsia"/>
                      <w:color w:val="000000"/>
                      <w:kern w:val="0"/>
                      <w:sz w:val="21"/>
                      <w:szCs w:val="21"/>
                      <w:lang w:eastAsia="zh-CN" w:bidi="ar"/>
                    </w:rPr>
                    <w:t>（</w:t>
                  </w:r>
                  <w:r>
                    <w:rPr>
                      <w:rFonts w:hint="eastAsia" w:ascii="宋体" w:hAnsi="宋体" w:cs="宋体"/>
                      <w:color w:val="000000"/>
                      <w:kern w:val="0"/>
                      <w:sz w:val="21"/>
                      <w:szCs w:val="21"/>
                      <w:lang w:bidi="ar"/>
                    </w:rPr>
                    <w:t>装料</w:t>
                  </w:r>
                  <w:r>
                    <w:rPr>
                      <w:rFonts w:hint="eastAsia"/>
                      <w:color w:val="000000"/>
                      <w:kern w:val="0"/>
                      <w:sz w:val="21"/>
                      <w:szCs w:val="21"/>
                      <w:lang w:eastAsia="zh-CN" w:bidi="ar"/>
                    </w:rPr>
                    <w:t>）</w:t>
                  </w:r>
                  <w:r>
                    <w:rPr>
                      <w:rFonts w:hint="eastAsia" w:ascii="宋体" w:hAnsi="宋体" w:cs="宋体"/>
                      <w:color w:val="000000"/>
                      <w:kern w:val="0"/>
                      <w:sz w:val="21"/>
                      <w:szCs w:val="21"/>
                      <w:lang w:bidi="ar"/>
                    </w:rPr>
                    <w:t>”</w:t>
                  </w:r>
                  <w:r>
                    <w:rPr>
                      <w:rFonts w:hint="eastAsia" w:ascii="宋体" w:hAnsi="宋体" w:cs="宋体"/>
                      <w:color w:val="000000"/>
                      <w:kern w:val="0"/>
                      <w:sz w:val="21"/>
                      <w:szCs w:val="21"/>
                      <w:lang w:eastAsia="zh-CN" w:bidi="ar"/>
                    </w:rPr>
                    <w:t>；</w:t>
                  </w:r>
                </w:p>
                <w:p w14:paraId="172C60E2">
                  <w:pPr>
                    <w:spacing w:line="340" w:lineRule="exact"/>
                    <w:ind w:firstLine="0" w:firstLineChars="0"/>
                    <w:jc w:val="left"/>
                    <w:rPr>
                      <w:rFonts w:hint="eastAsia" w:ascii="Times New Roman" w:hAnsi="Times New Roman" w:eastAsia="宋体" w:cs="Times New Roman"/>
                      <w:sz w:val="21"/>
                      <w:szCs w:val="21"/>
                      <w:lang w:val="en-US" w:eastAsia="zh-CN" w:bidi="ar"/>
                    </w:rPr>
                  </w:pPr>
                  <w:r>
                    <w:rPr>
                      <w:rFonts w:hint="default" w:ascii="Times New Roman" w:hAnsi="Times New Roman" w:eastAsia="宋体" w:cs="Times New Roman"/>
                      <w:sz w:val="21"/>
                      <w:szCs w:val="21"/>
                      <w:lang w:val="en-US" w:eastAsia="zh-CN" w:bidi="ar"/>
                    </w:rPr>
                    <w:t>搅拌粉尘</w:t>
                  </w:r>
                  <w:r>
                    <w:rPr>
                      <w:rFonts w:hint="default" w:ascii="Times New Roman" w:hAnsi="Times New Roman" w:eastAsia="宋体" w:cs="Times New Roman"/>
                      <w:b w:val="0"/>
                      <w:bCs w:val="0"/>
                      <w:color w:val="auto"/>
                      <w:kern w:val="2"/>
                      <w:sz w:val="21"/>
                      <w:szCs w:val="21"/>
                      <w:lang w:val="en-US" w:eastAsia="zh-CN" w:bidi="ar"/>
                    </w:rPr>
                    <w:t>产污系数参照</w:t>
                  </w:r>
                  <w:r>
                    <w:rPr>
                      <w:rFonts w:hint="eastAsia" w:ascii="宋体" w:hAnsi="宋体" w:cs="宋体"/>
                      <w:color w:val="000000"/>
                      <w:kern w:val="0"/>
                      <w:sz w:val="21"/>
                      <w:szCs w:val="21"/>
                      <w:lang w:bidi="ar"/>
                    </w:rPr>
                    <w:t>《排放源统计调查产排污核算方法和系数手册》中《</w:t>
                  </w:r>
                  <w:r>
                    <w:rPr>
                      <w:color w:val="000000"/>
                      <w:kern w:val="0"/>
                      <w:sz w:val="21"/>
                      <w:szCs w:val="21"/>
                      <w:lang w:bidi="ar"/>
                    </w:rPr>
                    <w:t>3021</w:t>
                  </w:r>
                  <w:r>
                    <w:rPr>
                      <w:rFonts w:hint="eastAsia" w:ascii="宋体" w:hAnsi="宋体" w:cs="宋体"/>
                      <w:color w:val="000000"/>
                      <w:kern w:val="0"/>
                      <w:sz w:val="21"/>
                      <w:szCs w:val="21"/>
                      <w:lang w:bidi="ar"/>
                    </w:rPr>
                    <w:t>水泥制品制造（含</w:t>
                  </w:r>
                  <w:r>
                    <w:rPr>
                      <w:color w:val="000000"/>
                      <w:kern w:val="0"/>
                      <w:sz w:val="21"/>
                      <w:szCs w:val="21"/>
                      <w:lang w:bidi="ar"/>
                    </w:rPr>
                    <w:t>3022</w:t>
                  </w:r>
                  <w:r>
                    <w:rPr>
                      <w:rFonts w:hint="eastAsia" w:ascii="宋体" w:hAnsi="宋体" w:cs="宋体"/>
                      <w:color w:val="000000"/>
                      <w:kern w:val="0"/>
                      <w:sz w:val="21"/>
                      <w:szCs w:val="21"/>
                      <w:lang w:bidi="ar"/>
                    </w:rPr>
                    <w:t>砼结构构件制造、</w:t>
                  </w:r>
                  <w:r>
                    <w:rPr>
                      <w:color w:val="000000"/>
                      <w:kern w:val="0"/>
                      <w:sz w:val="21"/>
                      <w:szCs w:val="21"/>
                      <w:lang w:bidi="ar"/>
                    </w:rPr>
                    <w:t>3029</w:t>
                  </w:r>
                  <w:r>
                    <w:rPr>
                      <w:rFonts w:hint="eastAsia" w:ascii="宋体" w:hAnsi="宋体" w:cs="宋体"/>
                      <w:color w:val="000000"/>
                      <w:kern w:val="0"/>
                      <w:sz w:val="21"/>
                      <w:szCs w:val="21"/>
                      <w:lang w:bidi="ar"/>
                    </w:rPr>
                    <w:t>其他水泥类似制品制造）行业系数手册》“物料混合搅拌工序颗粒物产污系数为</w:t>
                  </w:r>
                  <w:r>
                    <w:rPr>
                      <w:color w:val="000000"/>
                      <w:kern w:val="0"/>
                      <w:sz w:val="21"/>
                      <w:szCs w:val="21"/>
                      <w:lang w:bidi="ar"/>
                    </w:rPr>
                    <w:t>0.13</w:t>
                  </w:r>
                  <w:r>
                    <w:rPr>
                      <w:rFonts w:hint="eastAsia" w:ascii="宋体" w:hAnsi="宋体" w:cs="宋体"/>
                      <w:color w:val="000000"/>
                      <w:kern w:val="0"/>
                      <w:sz w:val="21"/>
                      <w:szCs w:val="21"/>
                      <w:lang w:bidi="ar"/>
                    </w:rPr>
                    <w:t>千克</w:t>
                  </w:r>
                  <w:r>
                    <w:rPr>
                      <w:color w:val="000000"/>
                      <w:kern w:val="0"/>
                      <w:sz w:val="21"/>
                      <w:szCs w:val="21"/>
                      <w:lang w:bidi="ar"/>
                    </w:rPr>
                    <w:t>/</w:t>
                  </w:r>
                  <w:r>
                    <w:rPr>
                      <w:rFonts w:hint="eastAsia" w:ascii="宋体" w:hAnsi="宋体" w:cs="宋体"/>
                      <w:color w:val="000000"/>
                      <w:kern w:val="0"/>
                      <w:sz w:val="21"/>
                      <w:szCs w:val="21"/>
                      <w:lang w:bidi="ar"/>
                    </w:rPr>
                    <w:t>吨</w:t>
                  </w:r>
                  <w:r>
                    <w:rPr>
                      <w:color w:val="000000"/>
                      <w:kern w:val="0"/>
                      <w:sz w:val="21"/>
                      <w:szCs w:val="21"/>
                      <w:lang w:bidi="ar"/>
                    </w:rPr>
                    <w:t>-</w:t>
                  </w:r>
                  <w:r>
                    <w:rPr>
                      <w:rFonts w:hint="eastAsia" w:ascii="宋体" w:hAnsi="宋体" w:cs="宋体"/>
                      <w:color w:val="000000"/>
                      <w:kern w:val="0"/>
                      <w:sz w:val="21"/>
                      <w:szCs w:val="21"/>
                      <w:lang w:bidi="ar"/>
                    </w:rPr>
                    <w:t>产品”</w:t>
                  </w:r>
                  <w:r>
                    <w:rPr>
                      <w:rFonts w:hint="eastAsia" w:ascii="宋体" w:hAnsi="宋体" w:cs="宋体"/>
                      <w:color w:val="000000"/>
                      <w:kern w:val="0"/>
                      <w:sz w:val="21"/>
                      <w:szCs w:val="21"/>
                      <w:lang w:eastAsia="zh-CN" w:bidi="ar"/>
                    </w:rPr>
                    <w:t>；</w:t>
                  </w:r>
                </w:p>
                <w:p w14:paraId="179F4F50">
                  <w:pPr>
                    <w:spacing w:line="340" w:lineRule="exact"/>
                    <w:ind w:firstLine="0" w:firstLineChars="0"/>
                    <w:jc w:val="left"/>
                    <w:rPr>
                      <w:rFonts w:hint="default"/>
                      <w:sz w:val="21"/>
                      <w:szCs w:val="21"/>
                      <w:lang w:val="en-US" w:eastAsia="zh-CN"/>
                    </w:rPr>
                  </w:pPr>
                  <w:r>
                    <w:rPr>
                      <w:rFonts w:hint="eastAsia" w:ascii="Times New Roman" w:hAnsi="Times New Roman" w:eastAsia="宋体" w:cs="Times New Roman"/>
                      <w:sz w:val="21"/>
                      <w:szCs w:val="21"/>
                      <w:lang w:bidi="ar"/>
                    </w:rPr>
                    <w:t>出料包装粉尘</w:t>
                  </w:r>
                  <w:r>
                    <w:rPr>
                      <w:rFonts w:hint="default" w:ascii="Times New Roman" w:hAnsi="Times New Roman" w:eastAsia="宋体" w:cs="Times New Roman"/>
                      <w:b w:val="0"/>
                      <w:bCs w:val="0"/>
                      <w:color w:val="auto"/>
                      <w:kern w:val="2"/>
                      <w:sz w:val="21"/>
                      <w:szCs w:val="21"/>
                      <w:lang w:val="en-US" w:eastAsia="zh-CN" w:bidi="ar"/>
                    </w:rPr>
                    <w:t>产污系数参照</w:t>
                  </w:r>
                  <w:r>
                    <w:rPr>
                      <w:rFonts w:hint="eastAsia" w:ascii="宋体" w:hAnsi="宋体" w:cs="宋体"/>
                      <w:color w:val="000000"/>
                      <w:kern w:val="0"/>
                      <w:sz w:val="21"/>
                      <w:szCs w:val="21"/>
                      <w:lang w:bidi="ar"/>
                    </w:rPr>
                    <w:t>《</w:t>
                  </w:r>
                  <w:r>
                    <w:rPr>
                      <w:color w:val="000000"/>
                      <w:kern w:val="0"/>
                      <w:sz w:val="21"/>
                      <w:szCs w:val="21"/>
                      <w:lang w:bidi="ar"/>
                    </w:rPr>
                    <w:t>3021</w:t>
                  </w:r>
                  <w:r>
                    <w:rPr>
                      <w:rFonts w:hint="eastAsia" w:ascii="宋体" w:hAnsi="宋体" w:cs="宋体"/>
                      <w:color w:val="000000"/>
                      <w:kern w:val="0"/>
                      <w:sz w:val="21"/>
                      <w:szCs w:val="21"/>
                      <w:lang w:bidi="ar"/>
                    </w:rPr>
                    <w:t>水泥制品制造（含</w:t>
                  </w:r>
                  <w:r>
                    <w:rPr>
                      <w:color w:val="000000"/>
                      <w:kern w:val="0"/>
                      <w:sz w:val="21"/>
                      <w:szCs w:val="21"/>
                      <w:lang w:bidi="ar"/>
                    </w:rPr>
                    <w:t>3022</w:t>
                  </w:r>
                  <w:r>
                    <w:rPr>
                      <w:rFonts w:hint="eastAsia" w:ascii="宋体" w:hAnsi="宋体" w:cs="宋体"/>
                      <w:color w:val="000000"/>
                      <w:kern w:val="0"/>
                      <w:sz w:val="21"/>
                      <w:szCs w:val="21"/>
                      <w:lang w:bidi="ar"/>
                    </w:rPr>
                    <w:t>砼结构构件制造、</w:t>
                  </w:r>
                  <w:r>
                    <w:rPr>
                      <w:color w:val="000000"/>
                      <w:kern w:val="0"/>
                      <w:sz w:val="21"/>
                      <w:szCs w:val="21"/>
                      <w:lang w:bidi="ar"/>
                    </w:rPr>
                    <w:t>3029</w:t>
                  </w:r>
                  <w:r>
                    <w:rPr>
                      <w:rFonts w:hint="eastAsia" w:ascii="宋体" w:hAnsi="宋体" w:cs="宋体"/>
                      <w:color w:val="000000"/>
                      <w:kern w:val="0"/>
                      <w:sz w:val="21"/>
                      <w:szCs w:val="21"/>
                      <w:lang w:bidi="ar"/>
                    </w:rPr>
                    <w:t>其他水泥类似制品制造）行业系数手册》“物料混合搅拌工序”产排污系数的</w:t>
                  </w:r>
                  <w:r>
                    <w:rPr>
                      <w:color w:val="000000"/>
                      <w:kern w:val="0"/>
                      <w:sz w:val="21"/>
                      <w:szCs w:val="21"/>
                      <w:lang w:bidi="ar"/>
                    </w:rPr>
                    <w:t>50%</w:t>
                  </w:r>
                  <w:r>
                    <w:rPr>
                      <w:rFonts w:hint="eastAsia" w:ascii="宋体" w:hAnsi="宋体" w:cs="宋体"/>
                      <w:color w:val="000000"/>
                      <w:kern w:val="0"/>
                      <w:sz w:val="21"/>
                      <w:szCs w:val="21"/>
                      <w:lang w:bidi="ar"/>
                    </w:rPr>
                    <w:t>计算，</w:t>
                  </w:r>
                  <w:r>
                    <w:rPr>
                      <w:rFonts w:hint="eastAsia" w:ascii="宋体" w:hAnsi="宋体" w:cs="宋体"/>
                      <w:color w:val="000000"/>
                      <w:kern w:val="0"/>
                      <w:sz w:val="21"/>
                      <w:szCs w:val="21"/>
                      <w:lang w:val="en-US" w:eastAsia="zh-CN" w:bidi="ar"/>
                    </w:rPr>
                    <w:t>即</w:t>
                  </w:r>
                  <w:r>
                    <w:rPr>
                      <w:color w:val="000000"/>
                      <w:kern w:val="0"/>
                      <w:sz w:val="21"/>
                      <w:szCs w:val="21"/>
                      <w:lang w:bidi="ar"/>
                    </w:rPr>
                    <w:t>0.</w:t>
                  </w:r>
                  <w:r>
                    <w:rPr>
                      <w:rFonts w:hint="eastAsia"/>
                      <w:color w:val="000000"/>
                      <w:kern w:val="0"/>
                      <w:sz w:val="21"/>
                      <w:szCs w:val="21"/>
                      <w:lang w:val="en-US" w:eastAsia="zh-CN" w:bidi="ar"/>
                    </w:rPr>
                    <w:t>065</w:t>
                  </w:r>
                  <w:r>
                    <w:rPr>
                      <w:rFonts w:hint="eastAsia" w:ascii="宋体" w:hAnsi="宋体" w:cs="宋体"/>
                      <w:color w:val="000000"/>
                      <w:kern w:val="0"/>
                      <w:sz w:val="21"/>
                      <w:szCs w:val="21"/>
                      <w:lang w:bidi="ar"/>
                    </w:rPr>
                    <w:t>千克</w:t>
                  </w:r>
                  <w:r>
                    <w:rPr>
                      <w:color w:val="000000"/>
                      <w:kern w:val="0"/>
                      <w:sz w:val="21"/>
                      <w:szCs w:val="21"/>
                      <w:lang w:bidi="ar"/>
                    </w:rPr>
                    <w:t>/</w:t>
                  </w:r>
                  <w:r>
                    <w:rPr>
                      <w:rFonts w:hint="eastAsia" w:ascii="宋体" w:hAnsi="宋体" w:cs="宋体"/>
                      <w:color w:val="000000"/>
                      <w:kern w:val="0"/>
                      <w:sz w:val="21"/>
                      <w:szCs w:val="21"/>
                      <w:lang w:bidi="ar"/>
                    </w:rPr>
                    <w:t>吨</w:t>
                  </w:r>
                  <w:r>
                    <w:rPr>
                      <w:color w:val="000000"/>
                      <w:kern w:val="0"/>
                      <w:sz w:val="21"/>
                      <w:szCs w:val="21"/>
                      <w:lang w:bidi="ar"/>
                    </w:rPr>
                    <w:t>-</w:t>
                  </w:r>
                  <w:r>
                    <w:rPr>
                      <w:rFonts w:hint="eastAsia" w:ascii="宋体" w:hAnsi="宋体" w:cs="宋体"/>
                      <w:color w:val="000000"/>
                      <w:kern w:val="0"/>
                      <w:sz w:val="21"/>
                      <w:szCs w:val="21"/>
                      <w:lang w:bidi="ar"/>
                    </w:rPr>
                    <w:t>产品颗粒物</w:t>
                  </w:r>
                  <w:r>
                    <w:rPr>
                      <w:rFonts w:hint="eastAsia" w:ascii="宋体" w:hAnsi="宋体" w:cs="宋体"/>
                      <w:color w:val="000000"/>
                      <w:kern w:val="0"/>
                      <w:sz w:val="21"/>
                      <w:szCs w:val="21"/>
                      <w:lang w:eastAsia="zh-CN" w:bidi="ar"/>
                    </w:rPr>
                    <w:t>。</w:t>
                  </w:r>
                </w:p>
              </w:tc>
            </w:tr>
          </w:tbl>
          <w:p w14:paraId="4D751772">
            <w:pPr>
              <w:widowControl/>
              <w:ind w:firstLine="0" w:firstLineChars="0"/>
              <w:jc w:val="left"/>
            </w:pPr>
          </w:p>
        </w:tc>
      </w:tr>
    </w:tbl>
    <w:p w14:paraId="40BDA566">
      <w:pPr>
        <w:adjustRightInd w:val="0"/>
        <w:snapToGrid w:val="0"/>
        <w:ind w:firstLine="562"/>
        <w:rPr>
          <w:b/>
          <w:kern w:val="0"/>
          <w:sz w:val="28"/>
          <w:szCs w:val="28"/>
        </w:rPr>
        <w:sectPr>
          <w:pgSz w:w="23811" w:h="16838" w:orient="landscape"/>
          <w:pgMar w:top="1418" w:right="1134" w:bottom="1418" w:left="1134" w:header="851" w:footer="851" w:gutter="0"/>
          <w:cols w:space="720" w:num="1"/>
          <w:docGrid w:linePitch="312" w:charSpace="0"/>
        </w:sectPr>
      </w:pPr>
    </w:p>
    <w:tbl>
      <w:tblPr>
        <w:tblStyle w:val="30"/>
        <w:tblW w:w="561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3"/>
        <w:gridCol w:w="9484"/>
      </w:tblGrid>
      <w:tr w14:paraId="0ABD07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417" w:type="pct"/>
            <w:tcMar>
              <w:left w:w="28" w:type="dxa"/>
              <w:right w:w="28" w:type="dxa"/>
            </w:tcMar>
            <w:vAlign w:val="center"/>
          </w:tcPr>
          <w:p w14:paraId="4537CE82">
            <w:pPr>
              <w:spacing w:line="240" w:lineRule="auto"/>
              <w:ind w:firstLine="0" w:firstLineChars="0"/>
              <w:jc w:val="center"/>
              <w:rPr>
                <w:szCs w:val="22"/>
              </w:rPr>
            </w:pPr>
            <w:r>
              <w:rPr>
                <w:szCs w:val="22"/>
              </w:rPr>
              <w:t>运营期环境影响和保护措施</w:t>
            </w:r>
          </w:p>
        </w:tc>
        <w:tc>
          <w:tcPr>
            <w:tcW w:w="4582" w:type="pct"/>
            <w:vAlign w:val="center"/>
          </w:tcPr>
          <w:p w14:paraId="7D846463">
            <w:pPr>
              <w:keepNext/>
              <w:keepLines/>
              <w:ind w:firstLine="0" w:firstLineChars="0"/>
              <w:jc w:val="left"/>
              <w:outlineLvl w:val="2"/>
              <w:rPr>
                <w:b/>
                <w:bCs/>
                <w:szCs w:val="28"/>
              </w:rPr>
            </w:pPr>
            <w:r>
              <w:rPr>
                <w:rFonts w:hint="eastAsia"/>
                <w:b/>
                <w:bCs/>
                <w:szCs w:val="28"/>
              </w:rPr>
              <w:t>4.2.1.2 非正常排放及防范措施</w:t>
            </w:r>
          </w:p>
          <w:p w14:paraId="6089A018">
            <w:pPr>
              <w:widowControl/>
              <w:ind w:firstLine="480"/>
              <w:jc w:val="left"/>
              <w:rPr>
                <w:kern w:val="0"/>
                <w:lang w:bidi="ar"/>
              </w:rPr>
            </w:pPr>
            <w:r>
              <w:rPr>
                <w:rFonts w:hint="eastAsia"/>
                <w:kern w:val="0"/>
                <w:lang w:bidi="ar"/>
              </w:rPr>
              <w:t xml:space="preserve">（1）非正常排放情形及排放源强 </w:t>
            </w:r>
          </w:p>
          <w:p w14:paraId="46A3EB89">
            <w:pPr>
              <w:widowControl/>
              <w:ind w:firstLine="480"/>
              <w:jc w:val="left"/>
              <w:rPr>
                <w:kern w:val="0"/>
                <w:lang w:bidi="ar"/>
              </w:rPr>
            </w:pPr>
            <w:r>
              <w:rPr>
                <w:rFonts w:hint="eastAsia"/>
                <w:kern w:val="0"/>
                <w:lang w:bidi="ar"/>
              </w:rPr>
              <w:t>非正常排放情况指设备检修、污染物排放控制措施达不到应有效率、工艺设备运转异常等情况下的排污。根据本项目的情况，结合同类企业运营情况，确定项目非正常排放情况为污染治理设施发生故障、运转异常（如风机故障、集气管道破裂等），或维护不到位导致废气处理设施效率降低等非正常工况。</w:t>
            </w:r>
          </w:p>
          <w:p w14:paraId="5B91ED8A">
            <w:pPr>
              <w:widowControl/>
              <w:ind w:firstLine="480"/>
              <w:jc w:val="left"/>
              <w:rPr>
                <w:kern w:val="0"/>
                <w:lang w:bidi="ar"/>
              </w:rPr>
            </w:pPr>
            <w:r>
              <w:rPr>
                <w:rFonts w:hint="eastAsia"/>
                <w:kern w:val="0"/>
                <w:lang w:bidi="ar"/>
              </w:rPr>
              <w:t>本评价按最不利情况考虑，即废气处理效率降低为</w:t>
            </w:r>
            <w:r>
              <w:rPr>
                <w:kern w:val="0"/>
                <w:lang w:bidi="ar"/>
              </w:rPr>
              <w:t>0%</w:t>
            </w:r>
            <w:r>
              <w:rPr>
                <w:rFonts w:hint="eastAsia"/>
                <w:kern w:val="0"/>
                <w:lang w:bidi="ar"/>
              </w:rPr>
              <w:t>的情况下污染物排放对周边环境的影响。由于废气事故排放效果不显著，短时间内难以发现非正常工况持续时间按</w:t>
            </w:r>
            <w:r>
              <w:rPr>
                <w:kern w:val="0"/>
                <w:lang w:bidi="ar"/>
              </w:rPr>
              <w:t>1h</w:t>
            </w:r>
            <w:r>
              <w:rPr>
                <w:rFonts w:hint="eastAsia"/>
                <w:kern w:val="0"/>
                <w:lang w:bidi="ar"/>
              </w:rPr>
              <w:t>计，发生频率按</w:t>
            </w:r>
            <w:r>
              <w:rPr>
                <w:kern w:val="0"/>
                <w:lang w:bidi="ar"/>
              </w:rPr>
              <w:t>1</w:t>
            </w:r>
            <w:r>
              <w:rPr>
                <w:rFonts w:hint="eastAsia"/>
                <w:kern w:val="0"/>
                <w:lang w:bidi="ar"/>
              </w:rPr>
              <w:t>次</w:t>
            </w:r>
            <w:r>
              <w:rPr>
                <w:kern w:val="0"/>
                <w:lang w:bidi="ar"/>
              </w:rPr>
              <w:t>/</w:t>
            </w:r>
            <w:r>
              <w:rPr>
                <w:rFonts w:hint="eastAsia"/>
                <w:kern w:val="0"/>
                <w:lang w:bidi="ar"/>
              </w:rPr>
              <w:t>年。非正常工况下废气排放源强核算结果见下表</w:t>
            </w:r>
            <w:r>
              <w:rPr>
                <w:kern w:val="0"/>
                <w:lang w:bidi="ar"/>
              </w:rPr>
              <w:t>4.</w:t>
            </w:r>
            <w:r>
              <w:rPr>
                <w:rFonts w:hint="eastAsia"/>
                <w:kern w:val="0"/>
                <w:lang w:bidi="ar"/>
              </w:rPr>
              <w:t>2</w:t>
            </w:r>
            <w:r>
              <w:rPr>
                <w:kern w:val="0"/>
                <w:lang w:bidi="ar"/>
              </w:rPr>
              <w:t>-2</w:t>
            </w:r>
            <w:r>
              <w:rPr>
                <w:rFonts w:hint="eastAsia"/>
                <w:kern w:val="0"/>
                <w:lang w:bidi="ar"/>
              </w:rPr>
              <w:t>。</w:t>
            </w:r>
          </w:p>
          <w:p w14:paraId="5F8954F3">
            <w:pPr>
              <w:spacing w:before="120" w:beforeLines="50" w:line="240" w:lineRule="auto"/>
              <w:ind w:firstLine="0" w:firstLineChars="0"/>
              <w:jc w:val="center"/>
              <w:rPr>
                <w:b/>
                <w:bCs/>
                <w:color w:val="FF0000"/>
              </w:rPr>
            </w:pPr>
            <w:r>
              <w:rPr>
                <w:b/>
                <w:bCs/>
              </w:rPr>
              <w:t>表4.</w:t>
            </w:r>
            <w:r>
              <w:rPr>
                <w:rFonts w:hint="eastAsia"/>
                <w:b/>
                <w:bCs/>
              </w:rPr>
              <w:t>2-2</w:t>
            </w:r>
            <w:r>
              <w:rPr>
                <w:b/>
                <w:bCs/>
              </w:rPr>
              <w:t xml:space="preserve">  项目废气污染物非正常排放核算表</w:t>
            </w:r>
          </w:p>
          <w:tbl>
            <w:tblPr>
              <w:tblStyle w:val="30"/>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6"/>
              <w:gridCol w:w="941"/>
              <w:gridCol w:w="1324"/>
              <w:gridCol w:w="889"/>
              <w:gridCol w:w="1196"/>
              <w:gridCol w:w="1028"/>
              <w:gridCol w:w="770"/>
              <w:gridCol w:w="961"/>
              <w:gridCol w:w="818"/>
              <w:gridCol w:w="844"/>
            </w:tblGrid>
            <w:tr w14:paraId="6EC4A1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3" w:type="pct"/>
                  <w:vAlign w:val="center"/>
                </w:tcPr>
                <w:p w14:paraId="76323DEA">
                  <w:pPr>
                    <w:spacing w:line="340" w:lineRule="exact"/>
                    <w:ind w:firstLine="0" w:firstLineChars="0"/>
                    <w:jc w:val="center"/>
                    <w:rPr>
                      <w:b/>
                      <w:bCs/>
                      <w:sz w:val="21"/>
                      <w:szCs w:val="21"/>
                      <w:lang w:bidi="ar"/>
                    </w:rPr>
                  </w:pPr>
                  <w:r>
                    <w:rPr>
                      <w:b/>
                      <w:bCs/>
                      <w:sz w:val="21"/>
                      <w:szCs w:val="21"/>
                      <w:lang w:bidi="ar"/>
                    </w:rPr>
                    <w:t>序号</w:t>
                  </w:r>
                </w:p>
              </w:tc>
              <w:tc>
                <w:tcPr>
                  <w:tcW w:w="507" w:type="pct"/>
                  <w:vAlign w:val="center"/>
                </w:tcPr>
                <w:p w14:paraId="3A28A721">
                  <w:pPr>
                    <w:spacing w:line="340" w:lineRule="exact"/>
                    <w:ind w:firstLine="0" w:firstLineChars="0"/>
                    <w:jc w:val="center"/>
                    <w:rPr>
                      <w:b/>
                      <w:bCs/>
                      <w:sz w:val="21"/>
                      <w:szCs w:val="21"/>
                      <w:lang w:bidi="ar"/>
                    </w:rPr>
                  </w:pPr>
                  <w:r>
                    <w:rPr>
                      <w:b/>
                      <w:bCs/>
                      <w:sz w:val="21"/>
                      <w:szCs w:val="21"/>
                      <w:lang w:bidi="ar"/>
                    </w:rPr>
                    <w:t>污染源</w:t>
                  </w:r>
                </w:p>
              </w:tc>
              <w:tc>
                <w:tcPr>
                  <w:tcW w:w="714" w:type="pct"/>
                  <w:vAlign w:val="center"/>
                </w:tcPr>
                <w:p w14:paraId="56BDF427">
                  <w:pPr>
                    <w:spacing w:line="340" w:lineRule="exact"/>
                    <w:ind w:firstLine="0" w:firstLineChars="0"/>
                    <w:jc w:val="center"/>
                    <w:rPr>
                      <w:b/>
                      <w:bCs/>
                      <w:sz w:val="21"/>
                      <w:szCs w:val="21"/>
                      <w:lang w:bidi="ar"/>
                    </w:rPr>
                  </w:pPr>
                  <w:r>
                    <w:rPr>
                      <w:b/>
                      <w:bCs/>
                      <w:sz w:val="21"/>
                      <w:szCs w:val="21"/>
                      <w:lang w:bidi="ar"/>
                    </w:rPr>
                    <w:t>非正常排放原因</w:t>
                  </w:r>
                </w:p>
              </w:tc>
              <w:tc>
                <w:tcPr>
                  <w:tcW w:w="480" w:type="pct"/>
                  <w:vAlign w:val="center"/>
                </w:tcPr>
                <w:p w14:paraId="273F0566">
                  <w:pPr>
                    <w:spacing w:line="340" w:lineRule="exact"/>
                    <w:ind w:firstLine="0" w:firstLineChars="0"/>
                    <w:jc w:val="center"/>
                    <w:rPr>
                      <w:b/>
                      <w:bCs/>
                      <w:sz w:val="21"/>
                      <w:szCs w:val="21"/>
                      <w:lang w:bidi="ar"/>
                    </w:rPr>
                  </w:pPr>
                  <w:r>
                    <w:rPr>
                      <w:b/>
                      <w:bCs/>
                      <w:sz w:val="21"/>
                      <w:szCs w:val="21"/>
                      <w:lang w:bidi="ar"/>
                    </w:rPr>
                    <w:t>污染物</w:t>
                  </w:r>
                </w:p>
              </w:tc>
              <w:tc>
                <w:tcPr>
                  <w:tcW w:w="645" w:type="pct"/>
                  <w:vAlign w:val="center"/>
                </w:tcPr>
                <w:p w14:paraId="34C51B29">
                  <w:pPr>
                    <w:spacing w:line="340" w:lineRule="exact"/>
                    <w:ind w:firstLine="0" w:firstLineChars="0"/>
                    <w:jc w:val="center"/>
                    <w:rPr>
                      <w:b/>
                      <w:bCs/>
                      <w:sz w:val="21"/>
                      <w:szCs w:val="21"/>
                      <w:lang w:bidi="ar"/>
                    </w:rPr>
                  </w:pPr>
                  <w:r>
                    <w:rPr>
                      <w:b/>
                      <w:bCs/>
                      <w:sz w:val="21"/>
                      <w:szCs w:val="21"/>
                      <w:lang w:bidi="ar"/>
                    </w:rPr>
                    <w:t>非正常排放浓度mg/m</w:t>
                  </w:r>
                  <w:r>
                    <w:rPr>
                      <w:b/>
                      <w:bCs/>
                      <w:sz w:val="21"/>
                      <w:szCs w:val="21"/>
                      <w:vertAlign w:val="superscript"/>
                      <w:lang w:bidi="ar"/>
                    </w:rPr>
                    <w:t>3</w:t>
                  </w:r>
                </w:p>
              </w:tc>
              <w:tc>
                <w:tcPr>
                  <w:tcW w:w="554" w:type="pct"/>
                  <w:vAlign w:val="center"/>
                </w:tcPr>
                <w:p w14:paraId="05E2C998">
                  <w:pPr>
                    <w:spacing w:line="340" w:lineRule="exact"/>
                    <w:ind w:firstLine="0" w:firstLineChars="0"/>
                    <w:jc w:val="center"/>
                    <w:rPr>
                      <w:b/>
                      <w:bCs/>
                      <w:sz w:val="21"/>
                      <w:szCs w:val="21"/>
                      <w:lang w:bidi="ar"/>
                    </w:rPr>
                  </w:pPr>
                  <w:r>
                    <w:rPr>
                      <w:b/>
                      <w:bCs/>
                      <w:sz w:val="21"/>
                      <w:szCs w:val="21"/>
                      <w:lang w:bidi="ar"/>
                    </w:rPr>
                    <w:t>非正常排放速率/kg/h</w:t>
                  </w:r>
                </w:p>
              </w:tc>
              <w:tc>
                <w:tcPr>
                  <w:tcW w:w="416" w:type="pct"/>
                  <w:vAlign w:val="center"/>
                </w:tcPr>
                <w:p w14:paraId="32E68ACF">
                  <w:pPr>
                    <w:spacing w:line="340" w:lineRule="exact"/>
                    <w:ind w:firstLine="0" w:firstLineChars="0"/>
                    <w:jc w:val="center"/>
                    <w:rPr>
                      <w:b/>
                      <w:bCs/>
                      <w:sz w:val="21"/>
                      <w:szCs w:val="21"/>
                      <w:lang w:bidi="ar"/>
                    </w:rPr>
                  </w:pPr>
                  <w:r>
                    <w:rPr>
                      <w:b/>
                      <w:bCs/>
                      <w:sz w:val="21"/>
                      <w:szCs w:val="21"/>
                      <w:lang w:bidi="ar"/>
                    </w:rPr>
                    <w:t>排放量/</w:t>
                  </w:r>
                  <w:r>
                    <w:rPr>
                      <w:rFonts w:hint="eastAsia"/>
                      <w:b/>
                      <w:bCs/>
                      <w:sz w:val="21"/>
                      <w:szCs w:val="21"/>
                      <w:lang w:bidi="ar"/>
                    </w:rPr>
                    <w:t>kg</w:t>
                  </w:r>
                </w:p>
              </w:tc>
              <w:tc>
                <w:tcPr>
                  <w:tcW w:w="518" w:type="pct"/>
                  <w:vAlign w:val="center"/>
                </w:tcPr>
                <w:p w14:paraId="353BCC02">
                  <w:pPr>
                    <w:spacing w:line="340" w:lineRule="exact"/>
                    <w:ind w:firstLine="0" w:firstLineChars="0"/>
                    <w:jc w:val="center"/>
                    <w:rPr>
                      <w:b/>
                      <w:bCs/>
                      <w:sz w:val="21"/>
                      <w:szCs w:val="21"/>
                      <w:lang w:bidi="ar"/>
                    </w:rPr>
                  </w:pPr>
                  <w:r>
                    <w:rPr>
                      <w:b/>
                      <w:bCs/>
                      <w:sz w:val="21"/>
                      <w:szCs w:val="21"/>
                      <w:lang w:bidi="ar"/>
                    </w:rPr>
                    <w:t>单次持续时间/h</w:t>
                  </w:r>
                </w:p>
              </w:tc>
              <w:tc>
                <w:tcPr>
                  <w:tcW w:w="442" w:type="pct"/>
                  <w:vAlign w:val="center"/>
                </w:tcPr>
                <w:p w14:paraId="2AA17405">
                  <w:pPr>
                    <w:spacing w:line="340" w:lineRule="exact"/>
                    <w:ind w:firstLine="0" w:firstLineChars="0"/>
                    <w:jc w:val="center"/>
                    <w:rPr>
                      <w:b/>
                      <w:bCs/>
                      <w:sz w:val="21"/>
                      <w:szCs w:val="21"/>
                      <w:lang w:bidi="ar"/>
                    </w:rPr>
                  </w:pPr>
                  <w:r>
                    <w:rPr>
                      <w:b/>
                      <w:bCs/>
                      <w:sz w:val="21"/>
                      <w:szCs w:val="21"/>
                      <w:lang w:bidi="ar"/>
                    </w:rPr>
                    <w:t>发生频次/</w:t>
                  </w:r>
                  <w:r>
                    <w:rPr>
                      <w:rFonts w:hint="eastAsia"/>
                      <w:b/>
                      <w:bCs/>
                      <w:sz w:val="21"/>
                      <w:szCs w:val="21"/>
                      <w:lang w:bidi="ar"/>
                    </w:rPr>
                    <w:t>年</w:t>
                  </w:r>
                </w:p>
              </w:tc>
              <w:tc>
                <w:tcPr>
                  <w:tcW w:w="456" w:type="pct"/>
                  <w:vAlign w:val="center"/>
                </w:tcPr>
                <w:p w14:paraId="53EC35DD">
                  <w:pPr>
                    <w:spacing w:line="340" w:lineRule="exact"/>
                    <w:ind w:firstLine="0" w:firstLineChars="0"/>
                    <w:jc w:val="center"/>
                    <w:rPr>
                      <w:b/>
                      <w:bCs/>
                      <w:sz w:val="21"/>
                      <w:szCs w:val="21"/>
                      <w:lang w:bidi="ar"/>
                    </w:rPr>
                  </w:pPr>
                  <w:r>
                    <w:rPr>
                      <w:b/>
                      <w:bCs/>
                      <w:sz w:val="21"/>
                      <w:szCs w:val="21"/>
                      <w:lang w:bidi="ar"/>
                    </w:rPr>
                    <w:t>应对措施</w:t>
                  </w:r>
                </w:p>
              </w:tc>
            </w:tr>
            <w:tr w14:paraId="7E459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3" w:hRule="atLeast"/>
                <w:jc w:val="center"/>
              </w:trPr>
              <w:tc>
                <w:tcPr>
                  <w:tcW w:w="263" w:type="pct"/>
                  <w:vAlign w:val="center"/>
                </w:tcPr>
                <w:p w14:paraId="2E3B851A">
                  <w:pPr>
                    <w:spacing w:line="340" w:lineRule="exact"/>
                    <w:ind w:firstLine="0" w:firstLineChars="0"/>
                    <w:jc w:val="center"/>
                    <w:rPr>
                      <w:sz w:val="21"/>
                      <w:szCs w:val="21"/>
                      <w:lang w:bidi="ar"/>
                    </w:rPr>
                  </w:pPr>
                  <w:r>
                    <w:rPr>
                      <w:sz w:val="21"/>
                      <w:szCs w:val="21"/>
                      <w:lang w:bidi="ar"/>
                    </w:rPr>
                    <w:t>1</w:t>
                  </w:r>
                </w:p>
              </w:tc>
              <w:tc>
                <w:tcPr>
                  <w:tcW w:w="507" w:type="pct"/>
                  <w:vAlign w:val="center"/>
                </w:tcPr>
                <w:p w14:paraId="3B52AB9F">
                  <w:pPr>
                    <w:spacing w:line="340" w:lineRule="exact"/>
                    <w:ind w:firstLine="0" w:firstLineChars="0"/>
                    <w:jc w:val="center"/>
                    <w:rPr>
                      <w:sz w:val="21"/>
                      <w:szCs w:val="21"/>
                      <w:lang w:bidi="ar"/>
                    </w:rPr>
                  </w:pPr>
                  <w:r>
                    <w:rPr>
                      <w:sz w:val="21"/>
                      <w:szCs w:val="21"/>
                      <w:lang w:bidi="ar"/>
                    </w:rPr>
                    <w:t>DA001</w:t>
                  </w:r>
                </w:p>
              </w:tc>
              <w:tc>
                <w:tcPr>
                  <w:tcW w:w="714" w:type="pct"/>
                  <w:vAlign w:val="center"/>
                </w:tcPr>
                <w:p w14:paraId="56D6A5EF">
                  <w:pPr>
                    <w:spacing w:line="340" w:lineRule="exact"/>
                    <w:ind w:firstLine="0" w:firstLineChars="0"/>
                    <w:jc w:val="center"/>
                    <w:rPr>
                      <w:sz w:val="21"/>
                      <w:szCs w:val="21"/>
                      <w:lang w:bidi="ar"/>
                    </w:rPr>
                  </w:pPr>
                  <w:r>
                    <w:rPr>
                      <w:rFonts w:hint="eastAsia"/>
                      <w:bCs/>
                      <w:sz w:val="21"/>
                      <w:szCs w:val="21"/>
                    </w:rPr>
                    <w:t>废气治理设施故障</w:t>
                  </w:r>
                </w:p>
              </w:tc>
              <w:tc>
                <w:tcPr>
                  <w:tcW w:w="480" w:type="pct"/>
                  <w:vAlign w:val="center"/>
                </w:tcPr>
                <w:p w14:paraId="12BE6E3F">
                  <w:pPr>
                    <w:spacing w:line="340" w:lineRule="exact"/>
                    <w:ind w:firstLine="0" w:firstLineChars="0"/>
                    <w:jc w:val="center"/>
                    <w:rPr>
                      <w:sz w:val="21"/>
                      <w:szCs w:val="21"/>
                      <w:lang w:bidi="ar"/>
                    </w:rPr>
                  </w:pPr>
                  <w:r>
                    <w:rPr>
                      <w:rFonts w:hint="eastAsia"/>
                      <w:sz w:val="21"/>
                      <w:szCs w:val="21"/>
                      <w:lang w:bidi="ar"/>
                    </w:rPr>
                    <w:t>颗粒物</w:t>
                  </w:r>
                </w:p>
              </w:tc>
              <w:tc>
                <w:tcPr>
                  <w:tcW w:w="645" w:type="pct"/>
                  <w:vAlign w:val="center"/>
                </w:tcPr>
                <w:p w14:paraId="3A780E26">
                  <w:pPr>
                    <w:spacing w:line="340" w:lineRule="exact"/>
                    <w:ind w:firstLine="0" w:firstLineChars="0"/>
                    <w:jc w:val="center"/>
                    <w:rPr>
                      <w:sz w:val="21"/>
                      <w:szCs w:val="21"/>
                      <w:lang w:bidi="ar"/>
                    </w:rPr>
                  </w:pPr>
                  <w:r>
                    <w:rPr>
                      <w:rFonts w:hint="eastAsia"/>
                      <w:sz w:val="21"/>
                      <w:szCs w:val="21"/>
                      <w:lang w:bidi="ar"/>
                    </w:rPr>
                    <w:t>395</w:t>
                  </w:r>
                </w:p>
              </w:tc>
              <w:tc>
                <w:tcPr>
                  <w:tcW w:w="554" w:type="pct"/>
                  <w:vAlign w:val="center"/>
                </w:tcPr>
                <w:p w14:paraId="38CDBB95">
                  <w:pPr>
                    <w:spacing w:line="340" w:lineRule="exact"/>
                    <w:ind w:firstLine="0" w:firstLineChars="0"/>
                    <w:jc w:val="center"/>
                    <w:rPr>
                      <w:sz w:val="21"/>
                      <w:szCs w:val="21"/>
                      <w:lang w:bidi="ar"/>
                    </w:rPr>
                  </w:pPr>
                  <w:r>
                    <w:rPr>
                      <w:rFonts w:hint="eastAsia"/>
                      <w:sz w:val="21"/>
                      <w:szCs w:val="21"/>
                      <w:lang w:bidi="ar"/>
                    </w:rPr>
                    <w:t>3.95</w:t>
                  </w:r>
                </w:p>
              </w:tc>
              <w:tc>
                <w:tcPr>
                  <w:tcW w:w="416" w:type="pct"/>
                  <w:vAlign w:val="center"/>
                </w:tcPr>
                <w:p w14:paraId="62A70000">
                  <w:pPr>
                    <w:spacing w:line="340" w:lineRule="exact"/>
                    <w:ind w:firstLine="0" w:firstLineChars="0"/>
                    <w:jc w:val="center"/>
                    <w:rPr>
                      <w:sz w:val="21"/>
                      <w:szCs w:val="21"/>
                      <w:lang w:bidi="ar"/>
                    </w:rPr>
                  </w:pPr>
                  <w:r>
                    <w:rPr>
                      <w:rFonts w:hint="eastAsia"/>
                      <w:sz w:val="21"/>
                      <w:szCs w:val="21"/>
                      <w:lang w:bidi="ar"/>
                    </w:rPr>
                    <w:t>3.95</w:t>
                  </w:r>
                </w:p>
              </w:tc>
              <w:tc>
                <w:tcPr>
                  <w:tcW w:w="518" w:type="pct"/>
                  <w:vAlign w:val="center"/>
                </w:tcPr>
                <w:p w14:paraId="39B9F5AA">
                  <w:pPr>
                    <w:spacing w:line="340" w:lineRule="exact"/>
                    <w:ind w:firstLine="0" w:firstLineChars="0"/>
                    <w:jc w:val="center"/>
                    <w:rPr>
                      <w:sz w:val="21"/>
                      <w:szCs w:val="21"/>
                      <w:lang w:bidi="ar"/>
                    </w:rPr>
                  </w:pPr>
                  <w:r>
                    <w:rPr>
                      <w:sz w:val="21"/>
                      <w:szCs w:val="21"/>
                      <w:lang w:bidi="ar"/>
                    </w:rPr>
                    <w:t>1</w:t>
                  </w:r>
                </w:p>
              </w:tc>
              <w:tc>
                <w:tcPr>
                  <w:tcW w:w="442" w:type="pct"/>
                  <w:vAlign w:val="center"/>
                </w:tcPr>
                <w:p w14:paraId="29196520">
                  <w:pPr>
                    <w:spacing w:line="340" w:lineRule="exact"/>
                    <w:ind w:firstLine="0" w:firstLineChars="0"/>
                    <w:jc w:val="center"/>
                    <w:rPr>
                      <w:sz w:val="21"/>
                      <w:szCs w:val="21"/>
                      <w:lang w:bidi="ar"/>
                    </w:rPr>
                  </w:pPr>
                  <w:r>
                    <w:rPr>
                      <w:sz w:val="21"/>
                      <w:szCs w:val="21"/>
                      <w:lang w:bidi="ar"/>
                    </w:rPr>
                    <w:t>1</w:t>
                  </w:r>
                </w:p>
              </w:tc>
              <w:tc>
                <w:tcPr>
                  <w:tcW w:w="456" w:type="pct"/>
                  <w:vAlign w:val="center"/>
                </w:tcPr>
                <w:p w14:paraId="5C1DC29D">
                  <w:pPr>
                    <w:spacing w:line="340" w:lineRule="exact"/>
                    <w:ind w:firstLine="0" w:firstLineChars="0"/>
                    <w:jc w:val="center"/>
                    <w:rPr>
                      <w:sz w:val="21"/>
                      <w:szCs w:val="21"/>
                      <w:lang w:bidi="ar"/>
                    </w:rPr>
                  </w:pPr>
                  <w:r>
                    <w:rPr>
                      <w:sz w:val="21"/>
                      <w:szCs w:val="21"/>
                      <w:lang w:bidi="ar"/>
                    </w:rPr>
                    <w:t>立即停止作业</w:t>
                  </w:r>
                </w:p>
              </w:tc>
            </w:tr>
          </w:tbl>
          <w:p w14:paraId="31BFEBC5">
            <w:pPr>
              <w:widowControl/>
              <w:ind w:firstLine="480"/>
              <w:jc w:val="left"/>
              <w:rPr>
                <w:kern w:val="0"/>
                <w:lang w:bidi="ar"/>
              </w:rPr>
            </w:pPr>
            <w:r>
              <w:rPr>
                <w:rFonts w:hint="eastAsia"/>
                <w:kern w:val="0"/>
                <w:lang w:bidi="ar"/>
              </w:rPr>
              <w:t>（</w:t>
            </w:r>
            <w:r>
              <w:rPr>
                <w:kern w:val="0"/>
                <w:lang w:bidi="ar"/>
              </w:rPr>
              <w:t>2</w:t>
            </w:r>
            <w:r>
              <w:rPr>
                <w:rFonts w:hint="eastAsia"/>
                <w:kern w:val="0"/>
                <w:lang w:bidi="ar"/>
              </w:rPr>
              <w:t>）非正常排放防治措施</w:t>
            </w:r>
          </w:p>
          <w:p w14:paraId="0811B802">
            <w:pPr>
              <w:widowControl/>
              <w:ind w:firstLine="480"/>
              <w:jc w:val="left"/>
              <w:rPr>
                <w:kern w:val="0"/>
                <w:lang w:bidi="ar"/>
              </w:rPr>
            </w:pPr>
            <w:r>
              <w:rPr>
                <w:rFonts w:hint="eastAsia"/>
                <w:kern w:val="0"/>
                <w:lang w:bidi="ar"/>
              </w:rPr>
              <w:t>针对以上非正常排放情形，本评价建议建设单位在生产运营期间采取以下控制措施以避免或减少项目废气非正常排放。</w:t>
            </w:r>
          </w:p>
          <w:p w14:paraId="0530FAF0">
            <w:pPr>
              <w:widowControl/>
              <w:ind w:firstLine="480"/>
              <w:jc w:val="left"/>
              <w:rPr>
                <w:kern w:val="0"/>
                <w:lang w:bidi="ar"/>
              </w:rPr>
            </w:pPr>
            <w:r>
              <w:rPr>
                <w:rFonts w:hint="eastAsia"/>
                <w:kern w:val="0"/>
                <w:lang w:bidi="ar"/>
              </w:rPr>
              <w:t>①规范车间生产操作，避免因员工操作不当导致工艺设备、环保设施故障引发废气事故排放。</w:t>
            </w:r>
          </w:p>
          <w:p w14:paraId="64573F14">
            <w:pPr>
              <w:widowControl/>
              <w:ind w:firstLine="480"/>
              <w:jc w:val="left"/>
              <w:rPr>
                <w:kern w:val="0"/>
                <w:lang w:bidi="ar"/>
              </w:rPr>
            </w:pPr>
            <w:r>
              <w:rPr>
                <w:rFonts w:hint="eastAsia"/>
                <w:kern w:val="0"/>
                <w:lang w:bidi="ar"/>
              </w:rPr>
              <w:t>②定期对生产设施、密闭管道、半封闭式围挡、集气罩及废气处理设施进行检查维护，定期清理布袋除尘器，对破损布袋滤料及时更换，杜绝非正常工况发生，避免非正常排放出现后才采取维护措施。</w:t>
            </w:r>
          </w:p>
          <w:p w14:paraId="285FB97C">
            <w:pPr>
              <w:widowControl/>
              <w:ind w:firstLine="480"/>
              <w:jc w:val="left"/>
              <w:rPr>
                <w:kern w:val="0"/>
                <w:lang w:bidi="ar"/>
              </w:rPr>
            </w:pPr>
            <w:r>
              <w:rPr>
                <w:rFonts w:hint="eastAsia"/>
                <w:kern w:val="0"/>
                <w:lang w:bidi="ar"/>
              </w:rPr>
              <w:t>综上，项目在采取上述非正常排放防范措施后，非正常排放发生频率较低，非正常排放下污染物排放量很大，对周边环境影响较大，建设单位应采取措施，尽可能减少或杜绝非正常工况发生。</w:t>
            </w:r>
          </w:p>
          <w:p w14:paraId="63E689F8">
            <w:pPr>
              <w:keepNext/>
              <w:keepLines/>
              <w:ind w:firstLine="0" w:firstLineChars="0"/>
              <w:jc w:val="left"/>
              <w:outlineLvl w:val="3"/>
              <w:rPr>
                <w:b/>
                <w:bCs/>
                <w:szCs w:val="28"/>
              </w:rPr>
            </w:pPr>
            <w:r>
              <w:rPr>
                <w:b/>
                <w:bCs/>
                <w:szCs w:val="28"/>
              </w:rPr>
              <w:t>4.</w:t>
            </w:r>
            <w:r>
              <w:rPr>
                <w:rFonts w:hint="eastAsia"/>
                <w:b/>
                <w:bCs/>
                <w:szCs w:val="28"/>
              </w:rPr>
              <w:t>2.1.3</w:t>
            </w:r>
            <w:r>
              <w:rPr>
                <w:b/>
                <w:bCs/>
                <w:szCs w:val="28"/>
              </w:rPr>
              <w:t>运营期大气影响和污染防治措施</w:t>
            </w:r>
            <w:r>
              <w:rPr>
                <w:rFonts w:hint="eastAsia"/>
                <w:b/>
                <w:bCs/>
                <w:szCs w:val="28"/>
              </w:rPr>
              <w:t>可行性</w:t>
            </w:r>
            <w:r>
              <w:rPr>
                <w:b/>
                <w:bCs/>
                <w:szCs w:val="28"/>
              </w:rPr>
              <w:t>分析</w:t>
            </w:r>
          </w:p>
          <w:p w14:paraId="1B90682D">
            <w:pPr>
              <w:ind w:firstLine="480"/>
            </w:pPr>
            <w:r>
              <w:rPr>
                <w:rFonts w:hint="eastAsia"/>
              </w:rPr>
              <w:t>（1）</w:t>
            </w:r>
            <w:r>
              <w:rPr>
                <w:rFonts w:hint="eastAsia"/>
                <w:kern w:val="0"/>
                <w:lang w:bidi="ar"/>
              </w:rPr>
              <w:t>生产</w:t>
            </w:r>
            <w:r>
              <w:rPr>
                <w:kern w:val="0"/>
                <w:lang w:bidi="ar"/>
              </w:rPr>
              <w:t>废气</w:t>
            </w:r>
            <w:r>
              <w:rPr>
                <w:rFonts w:hint="eastAsia"/>
              </w:rPr>
              <w:t>治理措施</w:t>
            </w:r>
          </w:p>
          <w:p w14:paraId="6B41F9A4">
            <w:pPr>
              <w:ind w:firstLine="480"/>
              <w:rPr>
                <w:b/>
                <w:bCs/>
              </w:rPr>
            </w:pPr>
            <w:r>
              <w:rPr>
                <w:rFonts w:hint="eastAsia"/>
              </w:rPr>
              <w:t>①工艺流程</w:t>
            </w:r>
          </w:p>
          <w:p w14:paraId="2B8E49BE">
            <w:pPr>
              <w:widowControl/>
              <w:ind w:firstLine="480"/>
              <w:jc w:val="left"/>
              <w:rPr>
                <w:rFonts w:ascii="宋体" w:hAnsi="宋体" w:cs="宋体"/>
                <w:kern w:val="0"/>
                <w:lang w:bidi="ar"/>
              </w:rPr>
            </w:pPr>
            <w:r>
              <w:rPr>
                <w:kern w:val="0"/>
                <w:lang w:bidi="ar"/>
              </w:rPr>
              <w:t>项目</w:t>
            </w:r>
            <w:r>
              <w:rPr>
                <w:rFonts w:hint="eastAsia"/>
                <w:kern w:val="0"/>
                <w:lang w:bidi="ar"/>
              </w:rPr>
              <w:t>储罐呼吸、</w:t>
            </w:r>
            <w:r>
              <w:rPr>
                <w:kern w:val="0"/>
                <w:lang w:bidi="ar"/>
              </w:rPr>
              <w:t>搅拌</w:t>
            </w:r>
            <w:r>
              <w:rPr>
                <w:rFonts w:hint="eastAsia"/>
                <w:kern w:val="0"/>
                <w:lang w:bidi="ar"/>
              </w:rPr>
              <w:t>粉尘采用脉冲布袋除尘器治理，</w:t>
            </w:r>
            <w:r>
              <w:rPr>
                <w:kern w:val="0"/>
                <w:lang w:bidi="ar"/>
              </w:rPr>
              <w:t>投料</w:t>
            </w:r>
            <w:r>
              <w:rPr>
                <w:rFonts w:hint="eastAsia"/>
                <w:kern w:val="0"/>
                <w:lang w:bidi="ar"/>
              </w:rPr>
              <w:t>、</w:t>
            </w:r>
            <w:r>
              <w:rPr>
                <w:kern w:val="0"/>
                <w:lang w:bidi="ar"/>
              </w:rPr>
              <w:t>打包产生的粉尘</w:t>
            </w:r>
            <w:r>
              <w:rPr>
                <w:kern w:val="0"/>
                <w:highlight w:val="none"/>
                <w:lang w:bidi="ar"/>
              </w:rPr>
              <w:t>经</w:t>
            </w:r>
            <w:r>
              <w:rPr>
                <w:rFonts w:hint="eastAsia"/>
                <w:highlight w:val="none"/>
              </w:rPr>
              <w:t>半封闭式围挡+</w:t>
            </w:r>
            <w:r>
              <w:rPr>
                <w:rFonts w:hint="eastAsia"/>
                <w:kern w:val="0"/>
                <w:highlight w:val="none"/>
                <w:lang w:bidi="ar"/>
              </w:rPr>
              <w:t>集气罩收集后一并引至脉冲</w:t>
            </w:r>
            <w:r>
              <w:rPr>
                <w:kern w:val="0"/>
                <w:highlight w:val="none"/>
                <w:lang w:bidi="ar"/>
              </w:rPr>
              <w:t>布袋除尘器治理</w:t>
            </w:r>
            <w:r>
              <w:rPr>
                <w:rFonts w:hint="eastAsia"/>
                <w:kern w:val="0"/>
                <w:highlight w:val="none"/>
                <w:lang w:bidi="ar"/>
              </w:rPr>
              <w:t>，处理</w:t>
            </w:r>
            <w:r>
              <w:rPr>
                <w:rFonts w:hint="eastAsia"/>
                <w:kern w:val="0"/>
                <w:lang w:bidi="ar"/>
              </w:rPr>
              <w:t>达标后由</w:t>
            </w:r>
            <w:r>
              <w:rPr>
                <w:kern w:val="0"/>
                <w:lang w:bidi="ar"/>
              </w:rPr>
              <w:t>1根</w:t>
            </w:r>
            <w:r>
              <w:rPr>
                <w:rFonts w:hint="eastAsia"/>
                <w:kern w:val="0"/>
                <w:lang w:val="en-US" w:eastAsia="zh-CN" w:bidi="ar"/>
              </w:rPr>
              <w:t>3</w:t>
            </w:r>
            <w:r>
              <w:rPr>
                <w:rFonts w:hint="eastAsia"/>
                <w:kern w:val="0"/>
                <w:lang w:bidi="ar"/>
              </w:rPr>
              <w:t>0m高</w:t>
            </w:r>
            <w:r>
              <w:rPr>
                <w:kern w:val="0"/>
                <w:lang w:bidi="ar"/>
              </w:rPr>
              <w:t>排气</w:t>
            </w:r>
            <w:r>
              <w:rPr>
                <w:rFonts w:hint="eastAsia"/>
                <w:kern w:val="0"/>
                <w:lang w:bidi="ar"/>
              </w:rPr>
              <w:t>筒</w:t>
            </w:r>
            <w:r>
              <w:rPr>
                <w:kern w:val="0"/>
                <w:lang w:bidi="ar"/>
              </w:rPr>
              <w:t>排放</w:t>
            </w:r>
            <w:r>
              <w:rPr>
                <w:rFonts w:hint="eastAsia"/>
                <w:kern w:val="0"/>
                <w:lang w:bidi="ar"/>
              </w:rPr>
              <w:t>（</w:t>
            </w:r>
            <w:r>
              <w:rPr>
                <w:kern w:val="0"/>
                <w:lang w:bidi="ar"/>
              </w:rPr>
              <w:t>DA001</w:t>
            </w:r>
            <w:r>
              <w:rPr>
                <w:rFonts w:hint="eastAsia"/>
                <w:kern w:val="0"/>
                <w:lang w:bidi="ar"/>
              </w:rPr>
              <w:t>）。</w:t>
            </w:r>
            <w:r>
              <w:rPr>
                <w:kern w:val="0"/>
                <w:lang w:bidi="ar"/>
              </w:rPr>
              <w:t>具体处理工艺流程详见图4.</w:t>
            </w:r>
            <w:r>
              <w:rPr>
                <w:rFonts w:hint="eastAsia"/>
                <w:kern w:val="0"/>
                <w:lang w:bidi="ar"/>
              </w:rPr>
              <w:t>2</w:t>
            </w:r>
            <w:r>
              <w:rPr>
                <w:kern w:val="0"/>
                <w:lang w:bidi="ar"/>
              </w:rPr>
              <w:t>-1</w:t>
            </w:r>
            <w:r>
              <w:rPr>
                <w:rFonts w:hint="eastAsia"/>
                <w:kern w:val="0"/>
                <w:lang w:bidi="ar"/>
              </w:rPr>
              <w:t>。</w:t>
            </w:r>
          </w:p>
          <w:p w14:paraId="0AE112E8">
            <w:pPr>
              <w:ind w:firstLine="0" w:firstLineChars="0"/>
              <w:jc w:val="center"/>
              <w:rPr>
                <w:rFonts w:ascii="宋体" w:hAnsi="宋体" w:cs="宋体"/>
                <w:b/>
                <w:kern w:val="0"/>
                <w:szCs w:val="28"/>
                <w:lang w:val="zh-TW" w:eastAsia="zh-TW" w:bidi="zh-TW"/>
              </w:rPr>
            </w:pPr>
            <w:r>
              <w:rPr>
                <w:rFonts w:ascii="宋体" w:hAnsi="宋体" w:cs="宋体"/>
                <w:b/>
                <w:kern w:val="0"/>
                <w:szCs w:val="28"/>
                <w:lang w:val="zh-TW" w:eastAsia="zh-TW" w:bidi="zh-TW"/>
              </w:rPr>
              <w:object>
                <v:shape id="_x0000_i1025" o:spt="75" type="#_x0000_t75" style="height:77pt;width:372.5pt;" o:ole="t" filled="f" o:preferrelative="t" stroked="f" coordsize="21600,21600">
                  <v:path/>
                  <v:fill on="f" focussize="0,0"/>
                  <v:stroke on="f"/>
                  <v:imagedata r:id="rId41" cropleft="1911f" cropright="2447f" cropbottom="3186f" o:title=""/>
                  <o:lock v:ext="edit" aspectratio="f"/>
                  <w10:wrap type="none"/>
                  <w10:anchorlock/>
                </v:shape>
                <o:OLEObject Type="Embed" ProgID="Visio.Drawing.15" ShapeID="_x0000_i1025" DrawAspect="Content" ObjectID="_1468075725" r:id="rId40">
                  <o:LockedField>false</o:LockedField>
                </o:OLEObject>
              </w:object>
            </w:r>
          </w:p>
          <w:p w14:paraId="37C39DE5">
            <w:pPr>
              <w:ind w:firstLine="0" w:firstLineChars="0"/>
              <w:jc w:val="center"/>
              <w:rPr>
                <w:rFonts w:ascii="宋体" w:hAnsi="宋体" w:cs="宋体"/>
                <w:b/>
                <w:kern w:val="0"/>
                <w:szCs w:val="28"/>
                <w:lang w:bidi="zh-TW"/>
              </w:rPr>
            </w:pPr>
            <w:r>
              <w:rPr>
                <w:b/>
                <w:bCs/>
                <w:kern w:val="0"/>
                <w:szCs w:val="32"/>
                <w:lang w:val="zh-TW" w:eastAsia="zh-TW" w:bidi="zh-TW"/>
              </w:rPr>
              <w:t>图</w:t>
            </w:r>
            <w:r>
              <w:rPr>
                <w:rFonts w:hint="eastAsia"/>
                <w:b/>
                <w:bCs/>
                <w:kern w:val="0"/>
                <w:szCs w:val="32"/>
                <w:lang w:bidi="zh-TW"/>
              </w:rPr>
              <w:t>4.2</w:t>
            </w:r>
            <w:r>
              <w:rPr>
                <w:b/>
                <w:bCs/>
                <w:kern w:val="0"/>
                <w:szCs w:val="32"/>
                <w:lang w:val="zh-TW" w:eastAsia="zh-TW" w:bidi="zh-TW"/>
              </w:rPr>
              <w:t>-</w:t>
            </w:r>
            <w:r>
              <w:rPr>
                <w:rFonts w:hint="eastAsia"/>
                <w:b/>
                <w:bCs/>
                <w:kern w:val="0"/>
                <w:szCs w:val="32"/>
                <w:lang w:bidi="zh-TW"/>
              </w:rPr>
              <w:t>1</w:t>
            </w:r>
            <w:r>
              <w:rPr>
                <w:b/>
                <w:bCs/>
                <w:kern w:val="0"/>
                <w:szCs w:val="32"/>
                <w:lang w:val="zh-TW" w:eastAsia="zh-TW" w:bidi="zh-TW"/>
              </w:rPr>
              <w:t xml:space="preserve"> 项目</w:t>
            </w:r>
            <w:r>
              <w:rPr>
                <w:rFonts w:hint="eastAsia"/>
                <w:b/>
                <w:bCs/>
                <w:kern w:val="0"/>
                <w:szCs w:val="32"/>
                <w:lang w:val="zh-TW" w:bidi="zh-TW"/>
              </w:rPr>
              <w:t>生产</w:t>
            </w:r>
            <w:r>
              <w:rPr>
                <w:b/>
                <w:bCs/>
                <w:kern w:val="0"/>
                <w:szCs w:val="32"/>
                <w:lang w:val="zh-TW" w:eastAsia="zh-TW" w:bidi="zh-TW"/>
              </w:rPr>
              <w:t>废气处理工艺流程图</w:t>
            </w:r>
          </w:p>
          <w:p w14:paraId="48DD74F6">
            <w:pPr>
              <w:ind w:firstLine="480"/>
              <w:rPr>
                <w:b/>
                <w:bCs/>
              </w:rPr>
            </w:pPr>
            <w:r>
              <w:rPr>
                <w:rFonts w:hint="eastAsia"/>
              </w:rPr>
              <w:t>②脉冲</w:t>
            </w:r>
            <w:r>
              <w:rPr>
                <w:rFonts w:hint="eastAsia"/>
                <w:bCs/>
              </w:rPr>
              <w:t>布袋除尘器</w:t>
            </w:r>
            <w:r>
              <w:t>工</w:t>
            </w:r>
            <w:r>
              <w:rPr>
                <w:rFonts w:hint="eastAsia"/>
              </w:rPr>
              <w:t>作</w:t>
            </w:r>
            <w:r>
              <w:t>原理</w:t>
            </w:r>
          </w:p>
          <w:p w14:paraId="3C6C276C">
            <w:pPr>
              <w:spacing w:line="351" w:lineRule="auto"/>
              <w:ind w:firstLine="480"/>
              <w:rPr>
                <w:bCs/>
              </w:rPr>
            </w:pPr>
            <w:r>
              <w:rPr>
                <w:rFonts w:hint="eastAsia"/>
                <w:bCs/>
              </w:rPr>
              <w:t>脉冲除尘器是指通过喷吹压缩空气的方法除掉过滤介质（布袋或滤筒）上附着的粉尘；根据除尘器的大小可能有几组脉冲阀，由脉冲控制仪或PLC控制，每次开一组脉冲阀来除去它所控制的那部分布袋或滤筒的灰尘，而其他的布袋或滤筒正常工作，隔一段时间后下一组脉冲阀打开，清理下一部分除尘器由灰斗、上箱体、中箱体、下箱体等部分组成，上、中、下箱体为分室结构。工作时，含尘气体由进风道进入灰斗，粗尘粒直接落入灰斗底部，细尘粒随气流转折向上进入中、下箱体，粉尘积附在滤袋外表面，过滤后的气体进入上箱体至净气集合管—排风道，经</w:t>
            </w:r>
            <w:r>
              <w:rPr>
                <w:rFonts w:hint="eastAsia"/>
                <w:bCs/>
                <w:lang w:val="en-US" w:eastAsia="zh-CN"/>
              </w:rPr>
              <w:t>3</w:t>
            </w:r>
            <w:r>
              <w:rPr>
                <w:rFonts w:hint="eastAsia"/>
                <w:bCs/>
              </w:rPr>
              <w:t>0m</w:t>
            </w:r>
            <w:r>
              <w:rPr>
                <w:rFonts w:hint="eastAsia"/>
                <w:bCs/>
                <w:lang w:eastAsia="zh-CN"/>
              </w:rPr>
              <w:t>高</w:t>
            </w:r>
            <w:r>
              <w:rPr>
                <w:rFonts w:hint="eastAsia"/>
                <w:bCs/>
              </w:rPr>
              <w:t>排气筒排入大气。含尘气体由进风口进入，经过灰斗时，气体中部分大颗粒粉尘受惯性力和重力作用被分离出来，直接落入灰斗底部。含尘气体通过灰斗后进入箱体的滤袋过滤区，气体穿过滤袋，粉尘被阻留在滤袋外表面，净化后的气体经滤袋口进入上箱体后，再由排气筒排出。</w:t>
            </w:r>
          </w:p>
          <w:p w14:paraId="4E34409F">
            <w:pPr>
              <w:spacing w:line="351" w:lineRule="auto"/>
              <w:ind w:firstLine="480"/>
              <w:rPr>
                <w:bCs/>
              </w:rPr>
            </w:pPr>
            <w:r>
              <w:rPr>
                <w:rFonts w:hint="eastAsia"/>
                <w:bCs/>
              </w:rPr>
              <w:t>③技术可行性分析</w:t>
            </w:r>
          </w:p>
          <w:p w14:paraId="6B37D301">
            <w:pPr>
              <w:adjustRightInd w:val="0"/>
              <w:snapToGrid w:val="0"/>
              <w:ind w:firstLine="480"/>
            </w:pPr>
            <w:r>
              <w:rPr>
                <w:rFonts w:hint="eastAsia"/>
              </w:rPr>
              <w:t>脉冲除尘器属于高效除尘器，可有效捕集细小颗粒物，根据《大气污染控制工程》提供的经验参数，脉冲除尘器除尘效率≥99.7%，本评价考虑不利因素按99%计。参照《排污许可申请与核发技术规范水泥工业》（HJ847-2017）附录B水泥工业废气污染防治可行技术，水泥仓及其他通风生产设备产生的颗粒应采用袋式除尘器；参照《排放源统计调查产排污核算方法和系数手册》中“3021水泥制品制造行业系数手册”表中颗粒物废气末端治理技术应采用袋式除尘器。</w:t>
            </w:r>
          </w:p>
          <w:p w14:paraId="68B0E6A1">
            <w:pPr>
              <w:adjustRightInd w:val="0"/>
              <w:snapToGrid w:val="0"/>
              <w:ind w:firstLine="480"/>
            </w:pPr>
            <w:r>
              <w:rPr>
                <w:rFonts w:hint="eastAsia"/>
              </w:rPr>
              <w:t>因此本项目采用脉冲式袋式除尘器，符合相应技术规范要求。根据污染物核算，项目DA001排气筒颗粒物总排放浓度为</w:t>
            </w:r>
            <w:r>
              <w:rPr>
                <w:rFonts w:hint="eastAsia"/>
                <w:lang w:val="en-US" w:eastAsia="zh-CN"/>
              </w:rPr>
              <w:t>3</w:t>
            </w:r>
            <w:r>
              <w:rPr>
                <w:rFonts w:hint="eastAsia"/>
              </w:rPr>
              <w:t>.9mg/m</w:t>
            </w:r>
            <w:r>
              <w:rPr>
                <w:rFonts w:hint="eastAsia"/>
                <w:vertAlign w:val="superscript"/>
              </w:rPr>
              <w:t>3</w:t>
            </w:r>
            <w:r>
              <w:rPr>
                <w:rFonts w:hint="eastAsia"/>
              </w:rPr>
              <w:t>（＜10mg/m</w:t>
            </w:r>
            <w:r>
              <w:rPr>
                <w:rFonts w:hint="eastAsia"/>
                <w:vertAlign w:val="superscript"/>
              </w:rPr>
              <w:t>3</w:t>
            </w:r>
            <w:r>
              <w:rPr>
                <w:rFonts w:hint="eastAsia"/>
              </w:rPr>
              <w:t>），排放速率为0.0</w:t>
            </w:r>
            <w:r>
              <w:rPr>
                <w:rFonts w:hint="eastAsia"/>
                <w:lang w:val="en-US" w:eastAsia="zh-CN"/>
              </w:rPr>
              <w:t>3</w:t>
            </w:r>
            <w:r>
              <w:rPr>
                <w:rFonts w:hint="eastAsia"/>
              </w:rPr>
              <w:t>9kg/h，符合《水泥工业大气污染物排放标准》（GB4915-2013）表2</w:t>
            </w:r>
            <w:r>
              <w:t>中</w:t>
            </w:r>
            <w:r>
              <w:rPr>
                <w:rFonts w:hint="eastAsia"/>
              </w:rPr>
              <w:t>大气污染物特别</w:t>
            </w:r>
            <w:r>
              <w:t>排放限值</w:t>
            </w:r>
            <w:r>
              <w:rPr>
                <w:rFonts w:hint="eastAsia"/>
              </w:rPr>
              <w:t>，因此项目采取以上治理措施合理可行。</w:t>
            </w:r>
          </w:p>
          <w:p w14:paraId="2CA866B0">
            <w:pPr>
              <w:adjustRightInd w:val="0"/>
              <w:snapToGrid w:val="0"/>
              <w:ind w:firstLine="480"/>
            </w:pPr>
            <w:r>
              <w:rPr>
                <w:rFonts w:hint="eastAsia"/>
              </w:rPr>
              <w:t>（2）无组织废气治理措施</w:t>
            </w:r>
          </w:p>
          <w:p w14:paraId="0268C470">
            <w:pPr>
              <w:ind w:firstLine="480"/>
            </w:pPr>
            <w:r>
              <w:rPr>
                <w:rFonts w:hint="eastAsia"/>
              </w:rPr>
              <w:t>a.定期清理车间内外地面沉降颗粒物。</w:t>
            </w:r>
          </w:p>
          <w:p w14:paraId="67C97917">
            <w:pPr>
              <w:ind w:firstLine="480"/>
            </w:pPr>
            <w:r>
              <w:rPr>
                <w:rFonts w:hint="eastAsia"/>
              </w:rPr>
              <w:t>b.项目应加强生产管理和废气处理设备维护，及时修理、更换破损的管道、布袋、机泵阀门等，减少和防止生产过程中的跑、冒、滴、漏和事故性排放。</w:t>
            </w:r>
          </w:p>
          <w:p w14:paraId="3BD28EFB">
            <w:pPr>
              <w:ind w:firstLine="480"/>
              <w:rPr>
                <w:rFonts w:hint="eastAsia"/>
                <w:lang w:eastAsia="zh-CN"/>
              </w:rPr>
            </w:pPr>
            <w:r>
              <w:rPr>
                <w:rFonts w:hint="eastAsia"/>
              </w:rPr>
              <w:t>c.加强废气收集管道、阀门的密封检修</w:t>
            </w:r>
            <w:r>
              <w:rPr>
                <w:rFonts w:hint="eastAsia"/>
                <w:lang w:eastAsia="zh-CN"/>
              </w:rPr>
              <w:t>。</w:t>
            </w:r>
          </w:p>
          <w:p w14:paraId="218574A8">
            <w:pPr>
              <w:ind w:firstLine="480"/>
            </w:pPr>
            <w:r>
              <w:rPr>
                <w:rFonts w:hint="eastAsia"/>
              </w:rPr>
              <w:t>d.加强操作工的培训和管理，以减少人为造成的对环境的污染。</w:t>
            </w:r>
          </w:p>
          <w:p w14:paraId="1AF670A2">
            <w:pPr>
              <w:ind w:firstLine="480"/>
            </w:pPr>
            <w:r>
              <w:rPr>
                <w:rFonts w:hint="eastAsia"/>
              </w:rPr>
              <w:t>e.为了保障布袋除尘处理效率，要求定期对除尘器布袋进行清洁保养，保证高效的吸附效率，合理控制吸附装置的风速。</w:t>
            </w:r>
          </w:p>
          <w:p w14:paraId="4827012F">
            <w:pPr>
              <w:ind w:firstLine="480"/>
            </w:pPr>
            <w:r>
              <w:rPr>
                <w:rFonts w:hint="eastAsia"/>
              </w:rPr>
              <w:t>f.原料和产品堆放、装卸区域均在防风生产厂房仓库内进行。</w:t>
            </w:r>
          </w:p>
          <w:p w14:paraId="35291E8C">
            <w:pPr>
              <w:ind w:firstLine="480"/>
            </w:pPr>
            <w:r>
              <w:t>综上所述，项目采取以上治理措施后，项目废气排放源强较低，可实现达标排放，对周边环境保护目标环境影响很小，采取的措施合理可行。</w:t>
            </w:r>
          </w:p>
          <w:p w14:paraId="2316AC2C">
            <w:pPr>
              <w:keepNext/>
              <w:keepLines/>
              <w:ind w:firstLine="0" w:firstLineChars="0"/>
              <w:jc w:val="left"/>
              <w:outlineLvl w:val="2"/>
              <w:rPr>
                <w:b/>
                <w:bCs/>
                <w:sz w:val="28"/>
                <w:szCs w:val="32"/>
              </w:rPr>
            </w:pPr>
            <w:r>
              <w:rPr>
                <w:b/>
                <w:bCs/>
                <w:sz w:val="28"/>
                <w:szCs w:val="32"/>
              </w:rPr>
              <w:t>4.</w:t>
            </w:r>
            <w:r>
              <w:rPr>
                <w:rFonts w:hint="eastAsia"/>
                <w:b/>
                <w:bCs/>
                <w:sz w:val="28"/>
                <w:szCs w:val="32"/>
              </w:rPr>
              <w:t>2.2</w:t>
            </w:r>
            <w:r>
              <w:rPr>
                <w:b/>
                <w:bCs/>
                <w:sz w:val="28"/>
                <w:szCs w:val="32"/>
              </w:rPr>
              <w:t>运营期水环境影响分析和污染防治措施</w:t>
            </w:r>
          </w:p>
          <w:p w14:paraId="74053C3E">
            <w:pPr>
              <w:keepNext/>
              <w:keepLines/>
              <w:ind w:firstLine="0" w:firstLineChars="0"/>
              <w:jc w:val="left"/>
              <w:outlineLvl w:val="3"/>
              <w:rPr>
                <w:b/>
                <w:bCs/>
                <w:szCs w:val="28"/>
              </w:rPr>
            </w:pPr>
            <w:r>
              <w:rPr>
                <w:rFonts w:hint="eastAsia"/>
                <w:b/>
                <w:bCs/>
                <w:szCs w:val="28"/>
              </w:rPr>
              <w:t>4.2.2.1废水污染源强分析</w:t>
            </w:r>
          </w:p>
          <w:p w14:paraId="5D010117">
            <w:pPr>
              <w:ind w:firstLine="480"/>
            </w:pPr>
            <w:r>
              <w:rPr>
                <w:rFonts w:hint="eastAsia"/>
              </w:rPr>
              <w:t>本项目不涉及生产用水，根据2.4章节公共工程可知</w:t>
            </w:r>
            <w:r>
              <w:t>本项目职工</w:t>
            </w:r>
            <w:r>
              <w:rPr>
                <w:rFonts w:hint="eastAsia"/>
              </w:rPr>
              <w:t>生活污水</w:t>
            </w:r>
            <w:r>
              <w:t>排放量为</w:t>
            </w:r>
            <w:r>
              <w:rPr>
                <w:rFonts w:hint="eastAsia"/>
              </w:rPr>
              <w:t>94.5</w:t>
            </w:r>
            <w:r>
              <w:t>m</w:t>
            </w:r>
            <w:r>
              <w:rPr>
                <w:vertAlign w:val="superscript"/>
              </w:rPr>
              <w:t>3</w:t>
            </w:r>
            <w:r>
              <w:t>/a</w:t>
            </w:r>
            <w:r>
              <w:rPr>
                <w:rFonts w:hint="eastAsia"/>
              </w:rPr>
              <w:t>（0.315</w:t>
            </w:r>
            <w:r>
              <w:t>m</w:t>
            </w:r>
            <w:r>
              <w:rPr>
                <w:vertAlign w:val="superscript"/>
              </w:rPr>
              <w:t>3</w:t>
            </w:r>
            <w:r>
              <w:t>/d</w:t>
            </w:r>
            <w:r>
              <w:rPr>
                <w:rFonts w:hint="eastAsia"/>
              </w:rPr>
              <w:t>）</w:t>
            </w:r>
            <w:r>
              <w:t>。</w:t>
            </w:r>
          </w:p>
          <w:p w14:paraId="4B270692">
            <w:pPr>
              <w:ind w:firstLine="480"/>
            </w:pPr>
            <w:r>
              <w:t>项目</w:t>
            </w:r>
            <w:r>
              <w:rPr>
                <w:rFonts w:hint="eastAsia"/>
              </w:rPr>
              <w:t>生活废水</w:t>
            </w:r>
            <w:r>
              <w:t>拟经化粪池处理达到《污水综合排放标准》</w:t>
            </w:r>
            <w:r>
              <w:rPr>
                <w:rFonts w:hint="eastAsia"/>
              </w:rPr>
              <w:t>（</w:t>
            </w:r>
            <w:r>
              <w:t>GB8978-1996</w:t>
            </w:r>
            <w:r>
              <w:rPr>
                <w:rFonts w:hint="eastAsia"/>
              </w:rPr>
              <w:t>）</w:t>
            </w:r>
            <w:r>
              <w:t>表4中的三级标准后</w:t>
            </w:r>
            <w:r>
              <w:rPr>
                <w:rFonts w:hint="eastAsia"/>
              </w:rPr>
              <w:t>（</w:t>
            </w:r>
            <w:r>
              <w:t>其中氨氮参照执行《污水排入城镇下水道水质标准》</w:t>
            </w:r>
            <w:r>
              <w:rPr>
                <w:rFonts w:hint="eastAsia"/>
              </w:rPr>
              <w:t>（</w:t>
            </w:r>
            <w:r>
              <w:t>GB/T31962-2015</w:t>
            </w:r>
            <w:r>
              <w:rPr>
                <w:rFonts w:hint="eastAsia"/>
              </w:rPr>
              <w:t>）</w:t>
            </w:r>
            <w:r>
              <w:t>表1中B级标准限值</w:t>
            </w:r>
            <w:r>
              <w:rPr>
                <w:rFonts w:hint="eastAsia"/>
              </w:rPr>
              <w:t>）</w:t>
            </w:r>
            <w:r>
              <w:t>，</w:t>
            </w:r>
            <w:r>
              <w:rPr>
                <w:rFonts w:hint="eastAsia"/>
              </w:rPr>
              <w:t>接入市政污水管网纳入闽侯县城区污水处理厂处理。</w:t>
            </w:r>
            <w:r>
              <w:t>根据给水排水设计手册</w:t>
            </w:r>
            <w:r>
              <w:rPr>
                <w:rFonts w:hint="eastAsia"/>
              </w:rPr>
              <w:t>（</w:t>
            </w:r>
            <w:r>
              <w:t>第5册</w:t>
            </w:r>
            <w:r>
              <w:rPr>
                <w:rFonts w:hint="eastAsia"/>
              </w:rPr>
              <w:t>）</w:t>
            </w:r>
            <w:r>
              <w:t>中4.2城镇污水水质，</w:t>
            </w:r>
            <w:r>
              <w:rPr>
                <w:rFonts w:hint="eastAsia"/>
              </w:rPr>
              <w:t>生活废水</w:t>
            </w:r>
            <w:r>
              <w:t>中各主要污染物浓度COD：400mg/L，BOD</w:t>
            </w:r>
            <w:r>
              <w:rPr>
                <w:vertAlign w:val="subscript"/>
              </w:rPr>
              <w:t>5</w:t>
            </w:r>
            <w:r>
              <w:t>：220mg/L，SS：200mg/L，NH</w:t>
            </w:r>
            <w:r>
              <w:rPr>
                <w:vertAlign w:val="subscript"/>
              </w:rPr>
              <w:t>3</w:t>
            </w:r>
            <w:r>
              <w:t>-N：35mg/L。预测本项目</w:t>
            </w:r>
            <w:r>
              <w:rPr>
                <w:rFonts w:hint="eastAsia"/>
              </w:rPr>
              <w:t>生活废水</w:t>
            </w:r>
            <w:r>
              <w:t>中水质及排放源强见</w:t>
            </w:r>
            <w:r>
              <w:rPr>
                <w:rFonts w:hint="eastAsia"/>
              </w:rPr>
              <w:t>4.2-3</w:t>
            </w:r>
            <w:r>
              <w:t>。</w:t>
            </w:r>
          </w:p>
          <w:p w14:paraId="3966B2CA">
            <w:pPr>
              <w:widowControl/>
              <w:spacing w:line="240" w:lineRule="auto"/>
              <w:ind w:firstLine="0" w:firstLineChars="0"/>
              <w:jc w:val="center"/>
              <w:rPr>
                <w:b/>
              </w:rPr>
            </w:pPr>
            <w:r>
              <w:rPr>
                <w:b/>
              </w:rPr>
              <w:t>表</w:t>
            </w:r>
            <w:r>
              <w:rPr>
                <w:rFonts w:hint="eastAsia"/>
                <w:b/>
              </w:rPr>
              <w:t>4.2-3</w:t>
            </w:r>
            <w:r>
              <w:rPr>
                <w:b/>
              </w:rPr>
              <w:t xml:space="preserve"> </w:t>
            </w:r>
            <w:r>
              <w:rPr>
                <w:rFonts w:hint="eastAsia"/>
                <w:b/>
              </w:rPr>
              <w:t xml:space="preserve"> </w:t>
            </w:r>
            <w:r>
              <w:rPr>
                <w:b/>
              </w:rPr>
              <w:t>废水水质及各污染物排放源强情况表</w:t>
            </w:r>
          </w:p>
          <w:tbl>
            <w:tblPr>
              <w:tblStyle w:val="30"/>
              <w:tblW w:w="492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902"/>
              <w:gridCol w:w="1902"/>
              <w:gridCol w:w="1430"/>
              <w:gridCol w:w="1325"/>
              <w:gridCol w:w="1283"/>
              <w:gridCol w:w="1281"/>
            </w:tblGrid>
            <w:tr w14:paraId="3F1A95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2" w:hRule="atLeast"/>
                <w:jc w:val="center"/>
              </w:trPr>
              <w:tc>
                <w:tcPr>
                  <w:tcW w:w="2084" w:type="pct"/>
                  <w:gridSpan w:val="2"/>
                  <w:vAlign w:val="center"/>
                </w:tcPr>
                <w:p w14:paraId="1B98C002">
                  <w:pPr>
                    <w:spacing w:line="240" w:lineRule="auto"/>
                    <w:ind w:firstLine="0" w:firstLineChars="0"/>
                    <w:jc w:val="center"/>
                    <w:rPr>
                      <w:b/>
                      <w:bCs/>
                      <w:sz w:val="21"/>
                    </w:rPr>
                  </w:pPr>
                  <w:r>
                    <w:rPr>
                      <w:rFonts w:hint="eastAsia"/>
                      <w:b/>
                      <w:bCs/>
                      <w:sz w:val="21"/>
                    </w:rPr>
                    <w:t>项目</w:t>
                  </w:r>
                </w:p>
              </w:tc>
              <w:tc>
                <w:tcPr>
                  <w:tcW w:w="784" w:type="pct"/>
                  <w:vAlign w:val="center"/>
                </w:tcPr>
                <w:p w14:paraId="5C42868C">
                  <w:pPr>
                    <w:spacing w:line="240" w:lineRule="auto"/>
                    <w:ind w:firstLine="0" w:firstLineChars="0"/>
                    <w:jc w:val="center"/>
                    <w:rPr>
                      <w:b/>
                      <w:bCs/>
                      <w:sz w:val="21"/>
                    </w:rPr>
                  </w:pPr>
                  <w:r>
                    <w:rPr>
                      <w:rFonts w:hint="eastAsia"/>
                      <w:b/>
                      <w:bCs/>
                      <w:sz w:val="21"/>
                    </w:rPr>
                    <w:t>COD</w:t>
                  </w:r>
                </w:p>
              </w:tc>
              <w:tc>
                <w:tcPr>
                  <w:tcW w:w="726" w:type="pct"/>
                  <w:vAlign w:val="center"/>
                </w:tcPr>
                <w:p w14:paraId="4B5D7D33">
                  <w:pPr>
                    <w:spacing w:line="240" w:lineRule="auto"/>
                    <w:ind w:firstLine="0" w:firstLineChars="0"/>
                    <w:jc w:val="center"/>
                    <w:rPr>
                      <w:b/>
                      <w:bCs/>
                      <w:sz w:val="21"/>
                    </w:rPr>
                  </w:pPr>
                  <w:r>
                    <w:rPr>
                      <w:rFonts w:hint="eastAsia"/>
                      <w:b/>
                      <w:bCs/>
                      <w:sz w:val="21"/>
                    </w:rPr>
                    <w:t>BOD</w:t>
                  </w:r>
                  <w:r>
                    <w:rPr>
                      <w:rFonts w:hint="eastAsia"/>
                      <w:b/>
                      <w:bCs/>
                      <w:sz w:val="21"/>
                      <w:vertAlign w:val="subscript"/>
                    </w:rPr>
                    <w:t>5</w:t>
                  </w:r>
                </w:p>
              </w:tc>
              <w:tc>
                <w:tcPr>
                  <w:tcW w:w="703" w:type="pct"/>
                  <w:vAlign w:val="center"/>
                </w:tcPr>
                <w:p w14:paraId="66BB820A">
                  <w:pPr>
                    <w:spacing w:line="240" w:lineRule="auto"/>
                    <w:ind w:firstLine="0" w:firstLineChars="0"/>
                    <w:jc w:val="center"/>
                    <w:rPr>
                      <w:b/>
                      <w:bCs/>
                      <w:sz w:val="21"/>
                    </w:rPr>
                  </w:pPr>
                  <w:r>
                    <w:rPr>
                      <w:rFonts w:hint="eastAsia"/>
                      <w:b/>
                      <w:bCs/>
                      <w:sz w:val="21"/>
                    </w:rPr>
                    <w:t>SS</w:t>
                  </w:r>
                </w:p>
              </w:tc>
              <w:tc>
                <w:tcPr>
                  <w:tcW w:w="702" w:type="pct"/>
                  <w:vAlign w:val="center"/>
                </w:tcPr>
                <w:p w14:paraId="58836F10">
                  <w:pPr>
                    <w:spacing w:line="240" w:lineRule="auto"/>
                    <w:ind w:firstLine="0" w:firstLineChars="0"/>
                    <w:jc w:val="center"/>
                    <w:rPr>
                      <w:b/>
                      <w:bCs/>
                      <w:sz w:val="21"/>
                    </w:rPr>
                  </w:pPr>
                  <w:r>
                    <w:rPr>
                      <w:rFonts w:hint="eastAsia"/>
                      <w:b/>
                      <w:bCs/>
                      <w:sz w:val="21"/>
                    </w:rPr>
                    <w:t>氨氮</w:t>
                  </w:r>
                </w:p>
              </w:tc>
            </w:tr>
            <w:tr w14:paraId="3EF28B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1042" w:type="pct"/>
                  <w:vMerge w:val="restart"/>
                  <w:vAlign w:val="center"/>
                </w:tcPr>
                <w:p w14:paraId="10270C6E">
                  <w:pPr>
                    <w:spacing w:line="240" w:lineRule="auto"/>
                    <w:ind w:firstLine="0" w:firstLineChars="0"/>
                    <w:jc w:val="center"/>
                    <w:rPr>
                      <w:sz w:val="21"/>
                    </w:rPr>
                  </w:pPr>
                  <w:r>
                    <w:rPr>
                      <w:rFonts w:hint="eastAsia"/>
                      <w:sz w:val="21"/>
                    </w:rPr>
                    <w:t>生活废水</w:t>
                  </w:r>
                </w:p>
                <w:p w14:paraId="6747D9C7">
                  <w:pPr>
                    <w:spacing w:line="240" w:lineRule="auto"/>
                    <w:ind w:firstLine="0" w:firstLineChars="0"/>
                    <w:jc w:val="center"/>
                    <w:rPr>
                      <w:sz w:val="21"/>
                    </w:rPr>
                  </w:pPr>
                  <w:r>
                    <w:rPr>
                      <w:rFonts w:hint="eastAsia"/>
                      <w:sz w:val="21"/>
                    </w:rPr>
                    <w:t>94.5m</w:t>
                  </w:r>
                  <w:r>
                    <w:rPr>
                      <w:rFonts w:hint="eastAsia"/>
                      <w:sz w:val="21"/>
                      <w:vertAlign w:val="superscript"/>
                    </w:rPr>
                    <w:t>3</w:t>
                  </w:r>
                  <w:r>
                    <w:rPr>
                      <w:rFonts w:hint="eastAsia"/>
                      <w:sz w:val="21"/>
                    </w:rPr>
                    <w:t>/a</w:t>
                  </w:r>
                </w:p>
              </w:tc>
              <w:tc>
                <w:tcPr>
                  <w:tcW w:w="1041" w:type="pct"/>
                  <w:vAlign w:val="center"/>
                </w:tcPr>
                <w:p w14:paraId="1FA64B2A">
                  <w:pPr>
                    <w:spacing w:line="240" w:lineRule="auto"/>
                    <w:ind w:firstLine="0" w:firstLineChars="0"/>
                    <w:jc w:val="center"/>
                    <w:rPr>
                      <w:sz w:val="21"/>
                    </w:rPr>
                  </w:pPr>
                  <w:r>
                    <w:rPr>
                      <w:rFonts w:hint="eastAsia"/>
                      <w:sz w:val="21"/>
                    </w:rPr>
                    <w:t>产生浓度mg/L</w:t>
                  </w:r>
                </w:p>
              </w:tc>
              <w:tc>
                <w:tcPr>
                  <w:tcW w:w="784" w:type="pct"/>
                  <w:vAlign w:val="center"/>
                </w:tcPr>
                <w:p w14:paraId="32586A12">
                  <w:pPr>
                    <w:spacing w:line="240" w:lineRule="auto"/>
                    <w:ind w:firstLine="0" w:firstLineChars="0"/>
                    <w:jc w:val="center"/>
                    <w:rPr>
                      <w:sz w:val="21"/>
                    </w:rPr>
                  </w:pPr>
                  <w:r>
                    <w:rPr>
                      <w:rFonts w:hint="eastAsia"/>
                      <w:sz w:val="21"/>
                    </w:rPr>
                    <w:t>400</w:t>
                  </w:r>
                </w:p>
              </w:tc>
              <w:tc>
                <w:tcPr>
                  <w:tcW w:w="726" w:type="pct"/>
                  <w:vAlign w:val="center"/>
                </w:tcPr>
                <w:p w14:paraId="6E98DF5B">
                  <w:pPr>
                    <w:spacing w:line="240" w:lineRule="auto"/>
                    <w:ind w:firstLine="0" w:firstLineChars="0"/>
                    <w:jc w:val="center"/>
                    <w:rPr>
                      <w:sz w:val="21"/>
                    </w:rPr>
                  </w:pPr>
                  <w:r>
                    <w:rPr>
                      <w:rFonts w:hint="eastAsia"/>
                      <w:sz w:val="21"/>
                    </w:rPr>
                    <w:t>220</w:t>
                  </w:r>
                </w:p>
              </w:tc>
              <w:tc>
                <w:tcPr>
                  <w:tcW w:w="703" w:type="pct"/>
                  <w:vAlign w:val="center"/>
                </w:tcPr>
                <w:p w14:paraId="625DED6E">
                  <w:pPr>
                    <w:spacing w:line="240" w:lineRule="auto"/>
                    <w:ind w:firstLine="0" w:firstLineChars="0"/>
                    <w:jc w:val="center"/>
                    <w:rPr>
                      <w:sz w:val="21"/>
                    </w:rPr>
                  </w:pPr>
                  <w:r>
                    <w:rPr>
                      <w:rFonts w:hint="eastAsia"/>
                      <w:sz w:val="21"/>
                    </w:rPr>
                    <w:t>200</w:t>
                  </w:r>
                </w:p>
              </w:tc>
              <w:tc>
                <w:tcPr>
                  <w:tcW w:w="702" w:type="pct"/>
                  <w:vAlign w:val="center"/>
                </w:tcPr>
                <w:p w14:paraId="7B331CA6">
                  <w:pPr>
                    <w:spacing w:line="240" w:lineRule="auto"/>
                    <w:ind w:firstLine="0" w:firstLineChars="0"/>
                    <w:jc w:val="center"/>
                    <w:rPr>
                      <w:sz w:val="21"/>
                    </w:rPr>
                  </w:pPr>
                  <w:r>
                    <w:rPr>
                      <w:rFonts w:hint="eastAsia"/>
                      <w:sz w:val="21"/>
                    </w:rPr>
                    <w:t>35</w:t>
                  </w:r>
                </w:p>
              </w:tc>
            </w:tr>
            <w:tr w14:paraId="5B25D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2" w:hRule="atLeast"/>
                <w:jc w:val="center"/>
              </w:trPr>
              <w:tc>
                <w:tcPr>
                  <w:tcW w:w="1042" w:type="pct"/>
                  <w:vMerge w:val="continue"/>
                  <w:vAlign w:val="center"/>
                </w:tcPr>
                <w:p w14:paraId="2592E18D">
                  <w:pPr>
                    <w:spacing w:line="240" w:lineRule="auto"/>
                    <w:ind w:firstLine="0" w:firstLineChars="0"/>
                    <w:jc w:val="center"/>
                    <w:rPr>
                      <w:sz w:val="21"/>
                    </w:rPr>
                  </w:pPr>
                </w:p>
              </w:tc>
              <w:tc>
                <w:tcPr>
                  <w:tcW w:w="1041" w:type="pct"/>
                  <w:vAlign w:val="center"/>
                </w:tcPr>
                <w:p w14:paraId="11F18A9A">
                  <w:pPr>
                    <w:spacing w:line="240" w:lineRule="auto"/>
                    <w:ind w:firstLine="0" w:firstLineChars="0"/>
                    <w:jc w:val="center"/>
                    <w:rPr>
                      <w:sz w:val="21"/>
                    </w:rPr>
                  </w:pPr>
                  <w:r>
                    <w:rPr>
                      <w:rFonts w:hint="eastAsia"/>
                      <w:sz w:val="21"/>
                    </w:rPr>
                    <w:t>产生量t/a</w:t>
                  </w:r>
                </w:p>
              </w:tc>
              <w:tc>
                <w:tcPr>
                  <w:tcW w:w="784" w:type="pct"/>
                  <w:vAlign w:val="center"/>
                </w:tcPr>
                <w:p w14:paraId="5D4D9C74">
                  <w:pPr>
                    <w:spacing w:line="240" w:lineRule="auto"/>
                    <w:ind w:firstLine="0" w:firstLineChars="0"/>
                    <w:jc w:val="center"/>
                    <w:rPr>
                      <w:sz w:val="21"/>
                    </w:rPr>
                  </w:pPr>
                  <w:r>
                    <w:rPr>
                      <w:rFonts w:hint="eastAsia"/>
                      <w:sz w:val="21"/>
                    </w:rPr>
                    <w:t>0.0378</w:t>
                  </w:r>
                </w:p>
              </w:tc>
              <w:tc>
                <w:tcPr>
                  <w:tcW w:w="726" w:type="pct"/>
                  <w:vAlign w:val="center"/>
                </w:tcPr>
                <w:p w14:paraId="7C93E83E">
                  <w:pPr>
                    <w:spacing w:line="240" w:lineRule="auto"/>
                    <w:ind w:firstLine="0" w:firstLineChars="0"/>
                    <w:jc w:val="center"/>
                    <w:rPr>
                      <w:sz w:val="21"/>
                    </w:rPr>
                  </w:pPr>
                  <w:r>
                    <w:rPr>
                      <w:rFonts w:hint="eastAsia"/>
                      <w:sz w:val="21"/>
                    </w:rPr>
                    <w:t>0.0208</w:t>
                  </w:r>
                </w:p>
              </w:tc>
              <w:tc>
                <w:tcPr>
                  <w:tcW w:w="703" w:type="pct"/>
                  <w:vAlign w:val="center"/>
                </w:tcPr>
                <w:p w14:paraId="4EFF2F79">
                  <w:pPr>
                    <w:spacing w:line="240" w:lineRule="auto"/>
                    <w:ind w:firstLine="0" w:firstLineChars="0"/>
                    <w:jc w:val="center"/>
                    <w:rPr>
                      <w:sz w:val="21"/>
                    </w:rPr>
                  </w:pPr>
                  <w:r>
                    <w:rPr>
                      <w:rFonts w:hint="eastAsia"/>
                      <w:sz w:val="21"/>
                    </w:rPr>
                    <w:t>0.0189</w:t>
                  </w:r>
                </w:p>
              </w:tc>
              <w:tc>
                <w:tcPr>
                  <w:tcW w:w="702" w:type="pct"/>
                  <w:vAlign w:val="center"/>
                </w:tcPr>
                <w:p w14:paraId="592807E3">
                  <w:pPr>
                    <w:spacing w:line="240" w:lineRule="auto"/>
                    <w:ind w:firstLine="0" w:firstLineChars="0"/>
                    <w:jc w:val="center"/>
                    <w:rPr>
                      <w:sz w:val="21"/>
                    </w:rPr>
                  </w:pPr>
                  <w:r>
                    <w:rPr>
                      <w:rFonts w:hint="eastAsia"/>
                      <w:sz w:val="21"/>
                    </w:rPr>
                    <w:t>0.0033</w:t>
                  </w:r>
                </w:p>
              </w:tc>
            </w:tr>
            <w:tr w14:paraId="21D1E2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2" w:hRule="atLeast"/>
                <w:jc w:val="center"/>
              </w:trPr>
              <w:tc>
                <w:tcPr>
                  <w:tcW w:w="1042" w:type="pct"/>
                  <w:vMerge w:val="continue"/>
                  <w:vAlign w:val="center"/>
                </w:tcPr>
                <w:p w14:paraId="4F5384A1">
                  <w:pPr>
                    <w:spacing w:line="240" w:lineRule="auto"/>
                    <w:ind w:firstLine="0" w:firstLineChars="0"/>
                    <w:jc w:val="center"/>
                    <w:rPr>
                      <w:sz w:val="21"/>
                    </w:rPr>
                  </w:pPr>
                </w:p>
              </w:tc>
              <w:tc>
                <w:tcPr>
                  <w:tcW w:w="1041" w:type="pct"/>
                  <w:vAlign w:val="center"/>
                </w:tcPr>
                <w:p w14:paraId="623D7304">
                  <w:pPr>
                    <w:spacing w:line="240" w:lineRule="auto"/>
                    <w:ind w:firstLine="0" w:firstLineChars="0"/>
                    <w:jc w:val="center"/>
                    <w:rPr>
                      <w:sz w:val="21"/>
                    </w:rPr>
                  </w:pPr>
                  <w:r>
                    <w:rPr>
                      <w:rFonts w:hint="eastAsia"/>
                      <w:sz w:val="21"/>
                    </w:rPr>
                    <w:t>处理方式</w:t>
                  </w:r>
                </w:p>
              </w:tc>
              <w:tc>
                <w:tcPr>
                  <w:tcW w:w="2915" w:type="pct"/>
                  <w:gridSpan w:val="4"/>
                  <w:vAlign w:val="center"/>
                </w:tcPr>
                <w:p w14:paraId="3E0ED43E">
                  <w:pPr>
                    <w:spacing w:line="240" w:lineRule="auto"/>
                    <w:ind w:firstLine="0" w:firstLineChars="0"/>
                    <w:jc w:val="center"/>
                    <w:rPr>
                      <w:sz w:val="21"/>
                    </w:rPr>
                  </w:pPr>
                  <w:r>
                    <w:rPr>
                      <w:rFonts w:hint="eastAsia"/>
                      <w:sz w:val="21"/>
                    </w:rPr>
                    <w:t>化粪池</w:t>
                  </w:r>
                </w:p>
              </w:tc>
            </w:tr>
            <w:tr w14:paraId="6B4AA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2" w:hRule="atLeast"/>
                <w:jc w:val="center"/>
              </w:trPr>
              <w:tc>
                <w:tcPr>
                  <w:tcW w:w="1042" w:type="pct"/>
                  <w:vMerge w:val="continue"/>
                  <w:vAlign w:val="center"/>
                </w:tcPr>
                <w:p w14:paraId="33D16221">
                  <w:pPr>
                    <w:spacing w:line="240" w:lineRule="auto"/>
                    <w:ind w:firstLine="0" w:firstLineChars="0"/>
                    <w:jc w:val="center"/>
                    <w:rPr>
                      <w:sz w:val="21"/>
                    </w:rPr>
                  </w:pPr>
                </w:p>
              </w:tc>
              <w:tc>
                <w:tcPr>
                  <w:tcW w:w="1041" w:type="pct"/>
                  <w:vAlign w:val="center"/>
                </w:tcPr>
                <w:p w14:paraId="777AC955">
                  <w:pPr>
                    <w:spacing w:line="240" w:lineRule="auto"/>
                    <w:ind w:firstLine="0" w:firstLineChars="0"/>
                    <w:jc w:val="center"/>
                    <w:rPr>
                      <w:sz w:val="21"/>
                    </w:rPr>
                  </w:pPr>
                  <w:r>
                    <w:rPr>
                      <w:rFonts w:hint="eastAsia"/>
                      <w:sz w:val="21"/>
                    </w:rPr>
                    <w:t>去除率</w:t>
                  </w:r>
                  <w:r>
                    <w:rPr>
                      <w:sz w:val="21"/>
                    </w:rPr>
                    <w:t>（</w:t>
                  </w:r>
                  <w:r>
                    <w:rPr>
                      <w:rFonts w:hint="eastAsia"/>
                      <w:sz w:val="21"/>
                    </w:rPr>
                    <w:t>%</w:t>
                  </w:r>
                  <w:r>
                    <w:rPr>
                      <w:sz w:val="21"/>
                    </w:rPr>
                    <w:t>）</w:t>
                  </w:r>
                </w:p>
              </w:tc>
              <w:tc>
                <w:tcPr>
                  <w:tcW w:w="784" w:type="pct"/>
                  <w:vAlign w:val="center"/>
                </w:tcPr>
                <w:p w14:paraId="00ABBB31">
                  <w:pPr>
                    <w:spacing w:line="240" w:lineRule="auto"/>
                    <w:ind w:firstLine="0" w:firstLineChars="0"/>
                    <w:jc w:val="center"/>
                    <w:rPr>
                      <w:sz w:val="21"/>
                    </w:rPr>
                  </w:pPr>
                  <w:r>
                    <w:rPr>
                      <w:sz w:val="21"/>
                    </w:rPr>
                    <w:t>15</w:t>
                  </w:r>
                </w:p>
              </w:tc>
              <w:tc>
                <w:tcPr>
                  <w:tcW w:w="726" w:type="pct"/>
                  <w:vAlign w:val="center"/>
                </w:tcPr>
                <w:p w14:paraId="087A447C">
                  <w:pPr>
                    <w:spacing w:line="240" w:lineRule="auto"/>
                    <w:ind w:firstLine="0" w:firstLineChars="0"/>
                    <w:jc w:val="center"/>
                    <w:rPr>
                      <w:sz w:val="21"/>
                    </w:rPr>
                  </w:pPr>
                  <w:r>
                    <w:rPr>
                      <w:sz w:val="21"/>
                    </w:rPr>
                    <w:t>9</w:t>
                  </w:r>
                </w:p>
              </w:tc>
              <w:tc>
                <w:tcPr>
                  <w:tcW w:w="703" w:type="pct"/>
                  <w:vAlign w:val="center"/>
                </w:tcPr>
                <w:p w14:paraId="1E2765DF">
                  <w:pPr>
                    <w:spacing w:line="240" w:lineRule="auto"/>
                    <w:ind w:firstLine="0" w:firstLineChars="0"/>
                    <w:jc w:val="center"/>
                    <w:rPr>
                      <w:sz w:val="21"/>
                    </w:rPr>
                  </w:pPr>
                  <w:r>
                    <w:rPr>
                      <w:sz w:val="21"/>
                    </w:rPr>
                    <w:t>30</w:t>
                  </w:r>
                </w:p>
              </w:tc>
              <w:tc>
                <w:tcPr>
                  <w:tcW w:w="702" w:type="pct"/>
                  <w:vAlign w:val="center"/>
                </w:tcPr>
                <w:p w14:paraId="799A578F">
                  <w:pPr>
                    <w:spacing w:line="240" w:lineRule="auto"/>
                    <w:ind w:firstLine="0" w:firstLineChars="0"/>
                    <w:jc w:val="center"/>
                    <w:rPr>
                      <w:sz w:val="21"/>
                    </w:rPr>
                  </w:pPr>
                  <w:r>
                    <w:rPr>
                      <w:sz w:val="21"/>
                    </w:rPr>
                    <w:t>3</w:t>
                  </w:r>
                </w:p>
              </w:tc>
            </w:tr>
            <w:tr w14:paraId="0C714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2" w:hRule="atLeast"/>
                <w:jc w:val="center"/>
              </w:trPr>
              <w:tc>
                <w:tcPr>
                  <w:tcW w:w="1042" w:type="pct"/>
                  <w:vMerge w:val="continue"/>
                  <w:vAlign w:val="center"/>
                </w:tcPr>
                <w:p w14:paraId="4E5FE758">
                  <w:pPr>
                    <w:spacing w:line="240" w:lineRule="auto"/>
                    <w:ind w:firstLine="0" w:firstLineChars="0"/>
                    <w:jc w:val="center"/>
                    <w:rPr>
                      <w:sz w:val="21"/>
                    </w:rPr>
                  </w:pPr>
                </w:p>
              </w:tc>
              <w:tc>
                <w:tcPr>
                  <w:tcW w:w="1041" w:type="pct"/>
                  <w:vAlign w:val="center"/>
                </w:tcPr>
                <w:p w14:paraId="30A8034C">
                  <w:pPr>
                    <w:spacing w:line="240" w:lineRule="auto"/>
                    <w:ind w:firstLine="0" w:firstLineChars="0"/>
                    <w:jc w:val="center"/>
                    <w:rPr>
                      <w:sz w:val="21"/>
                    </w:rPr>
                  </w:pPr>
                  <w:r>
                    <w:rPr>
                      <w:rFonts w:hint="eastAsia"/>
                      <w:sz w:val="21"/>
                    </w:rPr>
                    <w:t>排放量t/a</w:t>
                  </w:r>
                </w:p>
              </w:tc>
              <w:tc>
                <w:tcPr>
                  <w:tcW w:w="784" w:type="pct"/>
                  <w:vAlign w:val="center"/>
                </w:tcPr>
                <w:p w14:paraId="5E2A1461">
                  <w:pPr>
                    <w:spacing w:line="240" w:lineRule="auto"/>
                    <w:ind w:firstLine="0" w:firstLineChars="0"/>
                    <w:jc w:val="center"/>
                    <w:rPr>
                      <w:sz w:val="21"/>
                    </w:rPr>
                  </w:pPr>
                  <w:r>
                    <w:rPr>
                      <w:rFonts w:hint="eastAsia"/>
                      <w:sz w:val="21"/>
                    </w:rPr>
                    <w:t>0.0321</w:t>
                  </w:r>
                </w:p>
              </w:tc>
              <w:tc>
                <w:tcPr>
                  <w:tcW w:w="726" w:type="pct"/>
                  <w:vAlign w:val="center"/>
                </w:tcPr>
                <w:p w14:paraId="0575F5CE">
                  <w:pPr>
                    <w:spacing w:line="240" w:lineRule="auto"/>
                    <w:ind w:firstLine="0" w:firstLineChars="0"/>
                    <w:jc w:val="center"/>
                    <w:rPr>
                      <w:sz w:val="21"/>
                    </w:rPr>
                  </w:pPr>
                  <w:r>
                    <w:rPr>
                      <w:rFonts w:hint="eastAsia"/>
                      <w:sz w:val="21"/>
                    </w:rPr>
                    <w:t>0.0189</w:t>
                  </w:r>
                </w:p>
              </w:tc>
              <w:tc>
                <w:tcPr>
                  <w:tcW w:w="703" w:type="pct"/>
                  <w:vAlign w:val="center"/>
                </w:tcPr>
                <w:p w14:paraId="125455CA">
                  <w:pPr>
                    <w:spacing w:line="240" w:lineRule="auto"/>
                    <w:ind w:firstLine="0" w:firstLineChars="0"/>
                    <w:jc w:val="center"/>
                    <w:rPr>
                      <w:sz w:val="21"/>
                    </w:rPr>
                  </w:pPr>
                  <w:r>
                    <w:rPr>
                      <w:rFonts w:hint="eastAsia"/>
                      <w:sz w:val="21"/>
                    </w:rPr>
                    <w:t>0.0132</w:t>
                  </w:r>
                </w:p>
              </w:tc>
              <w:tc>
                <w:tcPr>
                  <w:tcW w:w="702" w:type="pct"/>
                  <w:vAlign w:val="center"/>
                </w:tcPr>
                <w:p w14:paraId="50BF97F8">
                  <w:pPr>
                    <w:spacing w:line="240" w:lineRule="auto"/>
                    <w:ind w:firstLine="0" w:firstLineChars="0"/>
                    <w:jc w:val="center"/>
                    <w:rPr>
                      <w:sz w:val="21"/>
                    </w:rPr>
                  </w:pPr>
                  <w:r>
                    <w:rPr>
                      <w:rFonts w:hint="eastAsia"/>
                      <w:sz w:val="21"/>
                    </w:rPr>
                    <w:t>0.0032</w:t>
                  </w:r>
                </w:p>
              </w:tc>
            </w:tr>
            <w:tr w14:paraId="4E910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4" w:hRule="atLeast"/>
                <w:jc w:val="center"/>
              </w:trPr>
              <w:tc>
                <w:tcPr>
                  <w:tcW w:w="1042" w:type="pct"/>
                  <w:vMerge w:val="continue"/>
                  <w:vAlign w:val="center"/>
                </w:tcPr>
                <w:p w14:paraId="3F28E40E">
                  <w:pPr>
                    <w:spacing w:line="240" w:lineRule="auto"/>
                    <w:ind w:firstLine="0" w:firstLineChars="0"/>
                    <w:jc w:val="center"/>
                    <w:rPr>
                      <w:sz w:val="21"/>
                    </w:rPr>
                  </w:pPr>
                </w:p>
              </w:tc>
              <w:tc>
                <w:tcPr>
                  <w:tcW w:w="1041" w:type="pct"/>
                  <w:vAlign w:val="center"/>
                </w:tcPr>
                <w:p w14:paraId="530A309D">
                  <w:pPr>
                    <w:spacing w:line="240" w:lineRule="auto"/>
                    <w:ind w:firstLine="0" w:firstLineChars="0"/>
                    <w:jc w:val="center"/>
                    <w:rPr>
                      <w:sz w:val="21"/>
                    </w:rPr>
                  </w:pPr>
                  <w:r>
                    <w:rPr>
                      <w:rFonts w:hint="eastAsia"/>
                      <w:sz w:val="21"/>
                    </w:rPr>
                    <w:t>排放浓度mg/L</w:t>
                  </w:r>
                </w:p>
              </w:tc>
              <w:tc>
                <w:tcPr>
                  <w:tcW w:w="784" w:type="pct"/>
                  <w:vAlign w:val="center"/>
                </w:tcPr>
                <w:p w14:paraId="41F0D063">
                  <w:pPr>
                    <w:spacing w:line="240" w:lineRule="auto"/>
                    <w:ind w:firstLine="0" w:firstLineChars="0"/>
                    <w:jc w:val="center"/>
                    <w:rPr>
                      <w:sz w:val="21"/>
                    </w:rPr>
                  </w:pPr>
                  <w:r>
                    <w:rPr>
                      <w:rFonts w:hint="eastAsia"/>
                      <w:sz w:val="21"/>
                    </w:rPr>
                    <w:t>340</w:t>
                  </w:r>
                </w:p>
              </w:tc>
              <w:tc>
                <w:tcPr>
                  <w:tcW w:w="726" w:type="pct"/>
                  <w:vAlign w:val="center"/>
                </w:tcPr>
                <w:p w14:paraId="4168C19E">
                  <w:pPr>
                    <w:spacing w:line="240" w:lineRule="auto"/>
                    <w:ind w:firstLine="0" w:firstLineChars="0"/>
                    <w:jc w:val="center"/>
                    <w:rPr>
                      <w:sz w:val="21"/>
                    </w:rPr>
                  </w:pPr>
                  <w:r>
                    <w:rPr>
                      <w:rFonts w:hint="eastAsia"/>
                      <w:sz w:val="21"/>
                    </w:rPr>
                    <w:t>200.4</w:t>
                  </w:r>
                </w:p>
              </w:tc>
              <w:tc>
                <w:tcPr>
                  <w:tcW w:w="703" w:type="pct"/>
                  <w:vAlign w:val="center"/>
                </w:tcPr>
                <w:p w14:paraId="624B1519">
                  <w:pPr>
                    <w:spacing w:line="240" w:lineRule="auto"/>
                    <w:ind w:firstLine="0" w:firstLineChars="0"/>
                    <w:jc w:val="center"/>
                    <w:rPr>
                      <w:sz w:val="21"/>
                    </w:rPr>
                  </w:pPr>
                  <w:r>
                    <w:rPr>
                      <w:rFonts w:hint="eastAsia"/>
                      <w:sz w:val="21"/>
                    </w:rPr>
                    <w:t>140</w:t>
                  </w:r>
                </w:p>
              </w:tc>
              <w:tc>
                <w:tcPr>
                  <w:tcW w:w="702" w:type="pct"/>
                  <w:vAlign w:val="center"/>
                </w:tcPr>
                <w:p w14:paraId="09BE3FFA">
                  <w:pPr>
                    <w:spacing w:line="240" w:lineRule="auto"/>
                    <w:ind w:firstLine="0" w:firstLineChars="0"/>
                    <w:jc w:val="center"/>
                    <w:rPr>
                      <w:sz w:val="21"/>
                    </w:rPr>
                  </w:pPr>
                  <w:r>
                    <w:rPr>
                      <w:rFonts w:hint="eastAsia"/>
                      <w:sz w:val="21"/>
                    </w:rPr>
                    <w:t>34.2</w:t>
                  </w:r>
                </w:p>
              </w:tc>
            </w:tr>
            <w:tr w14:paraId="4206A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2" w:hRule="atLeast"/>
                <w:jc w:val="center"/>
              </w:trPr>
              <w:tc>
                <w:tcPr>
                  <w:tcW w:w="2084" w:type="pct"/>
                  <w:gridSpan w:val="2"/>
                  <w:vAlign w:val="center"/>
                </w:tcPr>
                <w:p w14:paraId="7947ED1A">
                  <w:pPr>
                    <w:spacing w:line="240" w:lineRule="auto"/>
                    <w:ind w:firstLine="0" w:firstLineChars="0"/>
                    <w:jc w:val="center"/>
                    <w:rPr>
                      <w:sz w:val="21"/>
                    </w:rPr>
                  </w:pPr>
                  <w:r>
                    <w:rPr>
                      <w:sz w:val="21"/>
                    </w:rPr>
                    <w:t>GB8978-1996</w:t>
                  </w:r>
                  <w:r>
                    <w:rPr>
                      <w:rFonts w:hint="eastAsia"/>
                      <w:sz w:val="21"/>
                    </w:rPr>
                    <w:t>表4中的标准，其中氨氮执行GB/T31962-2015表1中B级标准限值</w:t>
                  </w:r>
                  <w:r>
                    <w:rPr>
                      <w:sz w:val="21"/>
                    </w:rPr>
                    <w:t>（mg/L）</w:t>
                  </w:r>
                </w:p>
              </w:tc>
              <w:tc>
                <w:tcPr>
                  <w:tcW w:w="784" w:type="pct"/>
                  <w:vAlign w:val="center"/>
                </w:tcPr>
                <w:p w14:paraId="115FC02F">
                  <w:pPr>
                    <w:spacing w:line="240" w:lineRule="auto"/>
                    <w:ind w:firstLine="0" w:firstLineChars="0"/>
                    <w:jc w:val="center"/>
                    <w:rPr>
                      <w:sz w:val="21"/>
                    </w:rPr>
                  </w:pPr>
                  <w:r>
                    <w:rPr>
                      <w:sz w:val="21"/>
                    </w:rPr>
                    <w:t>500</w:t>
                  </w:r>
                </w:p>
              </w:tc>
              <w:tc>
                <w:tcPr>
                  <w:tcW w:w="726" w:type="pct"/>
                  <w:vAlign w:val="center"/>
                </w:tcPr>
                <w:p w14:paraId="7CAD2DF7">
                  <w:pPr>
                    <w:spacing w:line="240" w:lineRule="auto"/>
                    <w:ind w:firstLine="0" w:firstLineChars="0"/>
                    <w:jc w:val="center"/>
                    <w:rPr>
                      <w:sz w:val="21"/>
                    </w:rPr>
                  </w:pPr>
                  <w:r>
                    <w:rPr>
                      <w:sz w:val="21"/>
                    </w:rPr>
                    <w:t>300</w:t>
                  </w:r>
                </w:p>
              </w:tc>
              <w:tc>
                <w:tcPr>
                  <w:tcW w:w="703" w:type="pct"/>
                  <w:vAlign w:val="center"/>
                </w:tcPr>
                <w:p w14:paraId="0EF9E0D4">
                  <w:pPr>
                    <w:spacing w:line="240" w:lineRule="auto"/>
                    <w:ind w:firstLine="0" w:firstLineChars="0"/>
                    <w:jc w:val="center"/>
                    <w:rPr>
                      <w:sz w:val="21"/>
                    </w:rPr>
                  </w:pPr>
                  <w:r>
                    <w:rPr>
                      <w:sz w:val="21"/>
                    </w:rPr>
                    <w:t>400</w:t>
                  </w:r>
                </w:p>
              </w:tc>
              <w:tc>
                <w:tcPr>
                  <w:tcW w:w="702" w:type="pct"/>
                  <w:vAlign w:val="center"/>
                </w:tcPr>
                <w:p w14:paraId="40A16FF2">
                  <w:pPr>
                    <w:spacing w:line="240" w:lineRule="auto"/>
                    <w:ind w:firstLine="0" w:firstLineChars="0"/>
                    <w:jc w:val="center"/>
                    <w:rPr>
                      <w:sz w:val="21"/>
                    </w:rPr>
                  </w:pPr>
                  <w:r>
                    <w:rPr>
                      <w:sz w:val="21"/>
                    </w:rPr>
                    <w:t>45</w:t>
                  </w:r>
                </w:p>
              </w:tc>
            </w:tr>
          </w:tbl>
          <w:p w14:paraId="52232E36">
            <w:pPr>
              <w:keepNext/>
              <w:keepLines/>
              <w:ind w:firstLine="0" w:firstLineChars="0"/>
              <w:jc w:val="left"/>
              <w:outlineLvl w:val="3"/>
              <w:rPr>
                <w:b/>
                <w:bCs/>
                <w:sz w:val="28"/>
                <w:szCs w:val="32"/>
              </w:rPr>
            </w:pPr>
          </w:p>
          <w:p w14:paraId="303958B8">
            <w:pPr>
              <w:keepNext/>
              <w:keepLines/>
              <w:ind w:firstLine="0" w:firstLineChars="0"/>
              <w:jc w:val="left"/>
              <w:outlineLvl w:val="3"/>
              <w:rPr>
                <w:b/>
                <w:bCs/>
                <w:sz w:val="28"/>
                <w:szCs w:val="32"/>
              </w:rPr>
            </w:pPr>
          </w:p>
          <w:p w14:paraId="53B595FC">
            <w:pPr>
              <w:keepNext/>
              <w:keepLines/>
              <w:ind w:firstLine="0" w:firstLineChars="0"/>
              <w:jc w:val="left"/>
              <w:outlineLvl w:val="3"/>
              <w:rPr>
                <w:b/>
                <w:bCs/>
                <w:szCs w:val="28"/>
              </w:rPr>
            </w:pPr>
            <w:r>
              <w:rPr>
                <w:rFonts w:hint="eastAsia"/>
                <w:b/>
                <w:bCs/>
                <w:sz w:val="28"/>
                <w:szCs w:val="32"/>
              </w:rPr>
              <w:t>4.2.3</w:t>
            </w:r>
            <w:r>
              <w:rPr>
                <w:b/>
                <w:bCs/>
                <w:sz w:val="28"/>
                <w:szCs w:val="32"/>
              </w:rPr>
              <w:t>项目废水处理措施及可行性分析</w:t>
            </w:r>
          </w:p>
          <w:p w14:paraId="3B2B34BB">
            <w:pPr>
              <w:ind w:firstLine="480"/>
            </w:pPr>
            <w:r>
              <w:t>（1）生活污水</w:t>
            </w:r>
          </w:p>
          <w:p w14:paraId="444E43E3">
            <w:pPr>
              <w:ind w:firstLine="480"/>
            </w:pPr>
            <w:r>
              <w:t>①闽侯县城关污水处理厂概况</w:t>
            </w:r>
          </w:p>
          <w:p w14:paraId="74A781AD">
            <w:pPr>
              <w:ind w:firstLine="480"/>
            </w:pPr>
            <w:r>
              <w:t>闽侯县城关污水处理厂位于甘蔗街道洽浦村后岐坝处，项目建设采用 BOT形式，由闽侯县盈源环保工程有限公司全权负责项目的融资、建设及运营。</w:t>
            </w:r>
            <w:r>
              <w:rPr>
                <w:rFonts w:hint="eastAsia"/>
              </w:rPr>
              <w:t>闽侯县城关污水处理厂（</w:t>
            </w:r>
            <w:r>
              <w:t>福建侯官海峡环保有限公司</w:t>
            </w:r>
            <w:r>
              <w:rPr>
                <w:rFonts w:hint="eastAsia"/>
              </w:rPr>
              <w:t>）</w:t>
            </w:r>
            <w:r>
              <w:t>一期工程2008年12月投入运营，处理能力1.5万t/d，二期工程于2014年9月投入运行处理能力为3万t/d，</w:t>
            </w:r>
            <w:r>
              <w:rPr>
                <w:rFonts w:hint="eastAsia"/>
              </w:rPr>
              <w:t>三期工程于</w:t>
            </w:r>
            <w:r>
              <w:t>2023年4月开工，2024年12月完成连续15天水质监测（达到一级A标准），2025年2月正式通水运行。扩建后总处理能力达5.5万吨/日（近期），远期设计8万吨/日，服务区域覆盖闽侯县中心城区甘蔗片区、关源组团及荆溪镇西部。污水经处理后排入</w:t>
            </w:r>
            <w:r>
              <w:rPr>
                <w:rFonts w:hint="eastAsia"/>
              </w:rPr>
              <w:t>安平浦</w:t>
            </w:r>
            <w:r>
              <w:t>。排放水质均符合</w:t>
            </w:r>
            <w:r>
              <w:rPr>
                <w:rFonts w:hint="eastAsia"/>
              </w:rPr>
              <w:t>（</w:t>
            </w:r>
            <w:r>
              <w:t>GB18918-2002</w:t>
            </w:r>
            <w:r>
              <w:rPr>
                <w:rFonts w:hint="eastAsia"/>
              </w:rPr>
              <w:t>）</w:t>
            </w:r>
            <w:r>
              <w:t>《城镇污水处理厂污染物排放标准》 表1一级A标准。</w:t>
            </w:r>
          </w:p>
          <w:p w14:paraId="1C5A5331">
            <w:pPr>
              <w:ind w:firstLine="480"/>
            </w:pPr>
            <w:r>
              <w:t>②与市政管网的衔接性</w:t>
            </w:r>
          </w:p>
          <w:p w14:paraId="7DD4BAA6">
            <w:pPr>
              <w:ind w:firstLine="480"/>
              <w:rPr>
                <w:rFonts w:hint="default" w:eastAsia="宋体"/>
                <w:lang w:val="en-US" w:eastAsia="zh-CN"/>
              </w:rPr>
            </w:pPr>
            <w:r>
              <w:t>本项目属于闽侯县城关污水处理厂的服务范围，该污水处理厂的管网有铺设到项目周边市政道路。根据现场勘查，目前周边的市政污水管网已建成并投入使用，污水管网已铺设完成，因此，项目污水可顺利接入市政污水管网送往闽侯县城关污水处理厂集中处理，对周边环境影响较小。</w:t>
            </w:r>
            <w:r>
              <w:rPr>
                <w:rFonts w:hint="eastAsia"/>
                <w:lang w:eastAsia="zh-CN"/>
              </w:rPr>
              <w:t>（生活污水依托协议详见附件</w:t>
            </w:r>
            <w:r>
              <w:rPr>
                <w:rFonts w:hint="eastAsia"/>
                <w:lang w:val="en-US" w:eastAsia="zh-CN"/>
              </w:rPr>
              <w:t>8、出租方纳管证明详见附件9）</w:t>
            </w:r>
          </w:p>
          <w:p w14:paraId="749136FD">
            <w:pPr>
              <w:ind w:firstLine="480"/>
            </w:pPr>
            <w:r>
              <w:t>③项目排污对污水处理厂的影响</w:t>
            </w:r>
          </w:p>
          <w:p w14:paraId="142B32A2">
            <w:pPr>
              <w:ind w:firstLine="480"/>
            </w:pPr>
            <w:r>
              <w:t>项目排污对闽侯县城关污水处理厂的影响主要表现在水质和水量两个方面。</w:t>
            </w:r>
          </w:p>
          <w:p w14:paraId="5D7CE864">
            <w:pPr>
              <w:ind w:firstLine="480"/>
            </w:pPr>
            <w:r>
              <w:t>1）废水水质的影响</w:t>
            </w:r>
          </w:p>
          <w:p w14:paraId="282F7C4F">
            <w:pPr>
              <w:ind w:firstLine="480"/>
            </w:pPr>
            <w:r>
              <w:t>项目运营期外排污废水主要为生活污水，项目生活</w:t>
            </w:r>
            <w:r>
              <w:rPr>
                <w:rFonts w:hint="eastAsia"/>
              </w:rPr>
              <w:t>污水</w:t>
            </w:r>
            <w:r>
              <w:t>经过化粪池处理后，出水水质可满足《污水综合排放标准》</w:t>
            </w:r>
            <w:r>
              <w:rPr>
                <w:rFonts w:hint="eastAsia"/>
              </w:rPr>
              <w:t>（</w:t>
            </w:r>
            <w:r>
              <w:t>GB8978-1996</w:t>
            </w:r>
            <w:r>
              <w:rPr>
                <w:rFonts w:hint="eastAsia"/>
              </w:rPr>
              <w:t>）</w:t>
            </w:r>
            <w:r>
              <w:t>表4三级标准</w:t>
            </w:r>
            <w:r>
              <w:rPr>
                <w:rFonts w:hint="eastAsia"/>
                <w:lang w:eastAsia="zh-CN"/>
              </w:rPr>
              <w:t>要求</w:t>
            </w:r>
            <w:r>
              <w:rPr>
                <w:rFonts w:hint="eastAsia"/>
              </w:rPr>
              <w:t>（</w:t>
            </w:r>
            <w:r>
              <w:t>其中氨氮参照执行《污水排入城镇下水道水质标准》</w:t>
            </w:r>
            <w:r>
              <w:rPr>
                <w:rFonts w:hint="eastAsia"/>
              </w:rPr>
              <w:t>（</w:t>
            </w:r>
            <w:r>
              <w:t>GB/T 31962-2015</w:t>
            </w:r>
            <w:r>
              <w:rPr>
                <w:rFonts w:hint="eastAsia"/>
              </w:rPr>
              <w:t>）</w:t>
            </w:r>
            <w:r>
              <w:t>表1中B级标准限值</w:t>
            </w:r>
            <w:r>
              <w:rPr>
                <w:rFonts w:hint="eastAsia"/>
              </w:rPr>
              <w:t>）</w:t>
            </w:r>
            <w:r>
              <w:t>，项目污水排放不会对闽侯县城关污水处理厂负荷和处理工艺产生影响，也不会对城市污水管道产生腐蚀影响。因此，从废水水质方面考虑，项目产生的废水经过化粪池处理后排入闽侯县城关污水处理厂处理是可行的。</w:t>
            </w:r>
          </w:p>
          <w:p w14:paraId="34BDFC16">
            <w:pPr>
              <w:ind w:firstLine="480"/>
            </w:pPr>
            <w:r>
              <w:t>2）废水水量的影响</w:t>
            </w:r>
          </w:p>
          <w:p w14:paraId="5E5EA538">
            <w:pPr>
              <w:ind w:firstLine="480"/>
              <w:rPr>
                <w:color w:val="FF0000"/>
              </w:rPr>
            </w:pPr>
            <w:r>
              <w:t>根据调查，闽侯县城关污水处理厂目前设计处理能力为</w:t>
            </w:r>
            <w:r>
              <w:rPr>
                <w:rFonts w:hint="eastAsia"/>
              </w:rPr>
              <w:t>5.5</w:t>
            </w:r>
            <w:r>
              <w:t>万m</w:t>
            </w:r>
            <w:r>
              <w:rPr>
                <w:vertAlign w:val="superscript"/>
              </w:rPr>
              <w:t>3</w:t>
            </w:r>
            <w:r>
              <w:t>/d，本项目外排污水量为</w:t>
            </w:r>
            <w:r>
              <w:rPr>
                <w:rFonts w:hint="eastAsia"/>
              </w:rPr>
              <w:t>0.315</w:t>
            </w:r>
            <w:r>
              <w:t>m</w:t>
            </w:r>
            <w:r>
              <w:rPr>
                <w:vertAlign w:val="superscript"/>
              </w:rPr>
              <w:t>3</w:t>
            </w:r>
            <w:r>
              <w:t>/d（工作日以</w:t>
            </w:r>
            <w:r>
              <w:rPr>
                <w:rFonts w:hint="eastAsia"/>
              </w:rPr>
              <w:t>300</w:t>
            </w:r>
            <w:r>
              <w:t>天计），占总规模的0.00</w:t>
            </w:r>
            <w:r>
              <w:rPr>
                <w:rFonts w:hint="eastAsia"/>
              </w:rPr>
              <w:t>05</w:t>
            </w:r>
            <w:r>
              <w:t>%，由此可见本项目的生活污水纳入闽侯县城关污水处理厂集中统一处理，不会造成明显的负荷冲击。</w:t>
            </w:r>
          </w:p>
          <w:p w14:paraId="5CA85FE2">
            <w:pPr>
              <w:ind w:firstLine="480"/>
            </w:pPr>
            <w:r>
              <w:t>综上所述，该项目污水排放不会对闽侯县城关污水处理厂造成影响</w:t>
            </w:r>
            <w:r>
              <w:rPr>
                <w:rFonts w:hint="eastAsia"/>
              </w:rPr>
              <w:t>，</w:t>
            </w:r>
            <w:r>
              <w:t>生活污水</w:t>
            </w:r>
            <w:r>
              <w:rPr>
                <w:rFonts w:hint="eastAsia"/>
              </w:rPr>
              <w:t>的</w:t>
            </w:r>
            <w:r>
              <w:t>排放方案可行。</w:t>
            </w:r>
          </w:p>
          <w:p w14:paraId="0E4C7CDD">
            <w:pPr>
              <w:keepNext/>
              <w:keepLines/>
              <w:ind w:firstLine="0" w:firstLineChars="0"/>
              <w:jc w:val="left"/>
              <w:outlineLvl w:val="2"/>
              <w:rPr>
                <w:b/>
                <w:bCs/>
                <w:sz w:val="28"/>
                <w:szCs w:val="32"/>
              </w:rPr>
            </w:pPr>
            <w:r>
              <w:rPr>
                <w:b/>
                <w:bCs/>
                <w:sz w:val="28"/>
                <w:szCs w:val="32"/>
              </w:rPr>
              <w:t>4.</w:t>
            </w:r>
            <w:r>
              <w:rPr>
                <w:rFonts w:hint="eastAsia"/>
                <w:b/>
                <w:bCs/>
                <w:sz w:val="28"/>
                <w:szCs w:val="32"/>
              </w:rPr>
              <w:t>2.4</w:t>
            </w:r>
            <w:r>
              <w:rPr>
                <w:b/>
                <w:bCs/>
                <w:sz w:val="28"/>
                <w:szCs w:val="32"/>
              </w:rPr>
              <w:t>运营期声环境影响分析和污染防治措施</w:t>
            </w:r>
          </w:p>
          <w:p w14:paraId="2D907FBF">
            <w:pPr>
              <w:keepNext/>
              <w:keepLines/>
              <w:ind w:firstLine="0" w:firstLineChars="0"/>
              <w:jc w:val="left"/>
              <w:outlineLvl w:val="3"/>
              <w:rPr>
                <w:b/>
                <w:bCs/>
                <w:szCs w:val="28"/>
              </w:rPr>
            </w:pPr>
            <w:r>
              <w:rPr>
                <w:b/>
                <w:bCs/>
                <w:szCs w:val="28"/>
              </w:rPr>
              <w:t>4.</w:t>
            </w:r>
            <w:r>
              <w:rPr>
                <w:rFonts w:hint="eastAsia"/>
                <w:b/>
                <w:bCs/>
                <w:szCs w:val="28"/>
              </w:rPr>
              <w:t>2.4.1</w:t>
            </w:r>
            <w:r>
              <w:rPr>
                <w:b/>
                <w:bCs/>
                <w:szCs w:val="28"/>
              </w:rPr>
              <w:t xml:space="preserve"> 运营期噪声源强核算</w:t>
            </w:r>
          </w:p>
          <w:p w14:paraId="3459B0AE">
            <w:pPr>
              <w:ind w:firstLine="480"/>
              <w:rPr>
                <w:b/>
              </w:rPr>
            </w:pPr>
            <w:r>
              <w:t>本项目主要的噪声污染源为</w:t>
            </w:r>
            <w:r>
              <w:rPr>
                <w:rFonts w:hint="eastAsia"/>
              </w:rPr>
              <w:t>项目生产设备</w:t>
            </w:r>
            <w:r>
              <w:t>运行</w:t>
            </w:r>
            <w:r>
              <w:rPr>
                <w:rFonts w:hint="eastAsia"/>
              </w:rPr>
              <w:t>过程中</w:t>
            </w:r>
            <w:r>
              <w:t>产生的噪声，根据类比分析，</w:t>
            </w:r>
            <w:r>
              <w:rPr>
                <w:rFonts w:hint="eastAsia"/>
              </w:rPr>
              <w:t>本项目室内噪声源强调查清单详见表4.2-4</w:t>
            </w:r>
            <w:r>
              <w:t>。</w:t>
            </w:r>
          </w:p>
          <w:p w14:paraId="080428EB">
            <w:pPr>
              <w:spacing w:before="120" w:beforeLines="50" w:line="240" w:lineRule="auto"/>
              <w:ind w:firstLine="0" w:firstLineChars="0"/>
              <w:jc w:val="center"/>
              <w:outlineLvl w:val="4"/>
              <w:rPr>
                <w:b/>
                <w:kern w:val="0"/>
              </w:rPr>
            </w:pPr>
            <w:r>
              <w:rPr>
                <w:b/>
                <w:kern w:val="0"/>
              </w:rPr>
              <w:t>表</w:t>
            </w:r>
            <w:r>
              <w:rPr>
                <w:rFonts w:hint="eastAsia"/>
                <w:b/>
                <w:kern w:val="0"/>
              </w:rPr>
              <w:t xml:space="preserve">4.2-4 </w:t>
            </w:r>
            <w:r>
              <w:rPr>
                <w:b/>
                <w:kern w:val="0"/>
              </w:rPr>
              <w:t xml:space="preserve"> 项目主要设备噪声一览表</w:t>
            </w:r>
            <w:r>
              <w:rPr>
                <w:rFonts w:hint="eastAsia"/>
                <w:b/>
                <w:kern w:val="0"/>
              </w:rPr>
              <w:t xml:space="preserve">  </w:t>
            </w:r>
            <w:r>
              <w:rPr>
                <w:b/>
                <w:kern w:val="0"/>
              </w:rPr>
              <w:t>单位：dB</w:t>
            </w:r>
            <w:r>
              <w:rPr>
                <w:rFonts w:hint="eastAsia"/>
                <w:b/>
                <w:kern w:val="0"/>
              </w:rPr>
              <w:t>（</w:t>
            </w:r>
            <w:r>
              <w:rPr>
                <w:b/>
                <w:kern w:val="0"/>
              </w:rPr>
              <w:t>A</w:t>
            </w:r>
            <w:r>
              <w:rPr>
                <w:rFonts w:hint="eastAsia"/>
                <w:b/>
                <w:kern w:val="0"/>
              </w:rPr>
              <w:t>）</w:t>
            </w:r>
          </w:p>
          <w:tbl>
            <w:tblPr>
              <w:tblStyle w:val="30"/>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1"/>
              <w:gridCol w:w="4043"/>
              <w:gridCol w:w="1164"/>
              <w:gridCol w:w="1735"/>
              <w:gridCol w:w="1446"/>
            </w:tblGrid>
            <w:tr w14:paraId="2BEB3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05D54812">
                  <w:pPr>
                    <w:spacing w:line="240" w:lineRule="auto"/>
                    <w:ind w:firstLine="0" w:firstLineChars="0"/>
                    <w:jc w:val="center"/>
                    <w:rPr>
                      <w:b/>
                      <w:bCs/>
                      <w:sz w:val="21"/>
                    </w:rPr>
                  </w:pPr>
                  <w:r>
                    <w:rPr>
                      <w:b/>
                      <w:bCs/>
                      <w:sz w:val="21"/>
                    </w:rPr>
                    <w:t>序号</w:t>
                  </w:r>
                </w:p>
              </w:tc>
              <w:tc>
                <w:tcPr>
                  <w:tcW w:w="2182" w:type="pct"/>
                  <w:vAlign w:val="center"/>
                </w:tcPr>
                <w:p w14:paraId="27095496">
                  <w:pPr>
                    <w:spacing w:line="240" w:lineRule="auto"/>
                    <w:ind w:firstLine="0" w:firstLineChars="0"/>
                    <w:jc w:val="center"/>
                    <w:rPr>
                      <w:b/>
                      <w:bCs/>
                      <w:sz w:val="21"/>
                    </w:rPr>
                  </w:pPr>
                  <w:r>
                    <w:rPr>
                      <w:b/>
                      <w:bCs/>
                      <w:sz w:val="21"/>
                    </w:rPr>
                    <w:t>主要产噪设备</w:t>
                  </w:r>
                </w:p>
              </w:tc>
              <w:tc>
                <w:tcPr>
                  <w:tcW w:w="628" w:type="pct"/>
                  <w:vAlign w:val="center"/>
                </w:tcPr>
                <w:p w14:paraId="2FCB1229">
                  <w:pPr>
                    <w:spacing w:line="240" w:lineRule="auto"/>
                    <w:ind w:firstLine="0" w:firstLineChars="0"/>
                    <w:jc w:val="center"/>
                    <w:rPr>
                      <w:b/>
                      <w:bCs/>
                      <w:sz w:val="21"/>
                    </w:rPr>
                  </w:pPr>
                  <w:r>
                    <w:rPr>
                      <w:b/>
                      <w:bCs/>
                      <w:sz w:val="21"/>
                    </w:rPr>
                    <w:t>噪声值</w:t>
                  </w:r>
                </w:p>
              </w:tc>
              <w:tc>
                <w:tcPr>
                  <w:tcW w:w="936" w:type="pct"/>
                  <w:vAlign w:val="center"/>
                </w:tcPr>
                <w:p w14:paraId="0C4AAA2F">
                  <w:pPr>
                    <w:spacing w:line="240" w:lineRule="auto"/>
                    <w:ind w:firstLine="0" w:firstLineChars="0"/>
                    <w:jc w:val="center"/>
                    <w:rPr>
                      <w:b/>
                      <w:bCs/>
                      <w:sz w:val="21"/>
                    </w:rPr>
                  </w:pPr>
                  <w:r>
                    <w:rPr>
                      <w:b/>
                      <w:bCs/>
                      <w:sz w:val="21"/>
                    </w:rPr>
                    <w:t>降噪措施</w:t>
                  </w:r>
                </w:p>
              </w:tc>
              <w:tc>
                <w:tcPr>
                  <w:tcW w:w="781" w:type="pct"/>
                  <w:vAlign w:val="center"/>
                </w:tcPr>
                <w:p w14:paraId="0FB2E128">
                  <w:pPr>
                    <w:spacing w:line="240" w:lineRule="auto"/>
                    <w:ind w:firstLine="0" w:firstLineChars="0"/>
                    <w:jc w:val="center"/>
                    <w:rPr>
                      <w:b/>
                      <w:bCs/>
                      <w:sz w:val="21"/>
                    </w:rPr>
                  </w:pPr>
                  <w:r>
                    <w:rPr>
                      <w:b/>
                      <w:bCs/>
                      <w:sz w:val="21"/>
                    </w:rPr>
                    <w:t>备注</w:t>
                  </w:r>
                </w:p>
              </w:tc>
            </w:tr>
            <w:tr w14:paraId="781609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059F8CBF">
                  <w:pPr>
                    <w:spacing w:line="240" w:lineRule="auto"/>
                    <w:ind w:firstLine="0" w:firstLineChars="0"/>
                    <w:jc w:val="center"/>
                    <w:rPr>
                      <w:sz w:val="21"/>
                      <w:szCs w:val="21"/>
                    </w:rPr>
                  </w:pPr>
                  <w:r>
                    <w:rPr>
                      <w:rFonts w:hint="eastAsia"/>
                      <w:sz w:val="21"/>
                      <w:szCs w:val="21"/>
                    </w:rPr>
                    <w:t>1</w:t>
                  </w:r>
                </w:p>
              </w:tc>
              <w:tc>
                <w:tcPr>
                  <w:tcW w:w="2182" w:type="pct"/>
                  <w:vAlign w:val="center"/>
                </w:tcPr>
                <w:p w14:paraId="258501FF">
                  <w:pPr>
                    <w:spacing w:line="240" w:lineRule="auto"/>
                    <w:ind w:firstLine="0" w:firstLineChars="0"/>
                    <w:jc w:val="center"/>
                    <w:rPr>
                      <w:sz w:val="21"/>
                      <w:szCs w:val="21"/>
                    </w:rPr>
                  </w:pPr>
                  <w:r>
                    <w:rPr>
                      <w:rFonts w:hint="eastAsia"/>
                      <w:sz w:val="21"/>
                      <w:szCs w:val="21"/>
                    </w:rPr>
                    <w:t>搅拌机</w:t>
                  </w:r>
                </w:p>
              </w:tc>
              <w:tc>
                <w:tcPr>
                  <w:tcW w:w="628" w:type="pct"/>
                  <w:vAlign w:val="center"/>
                </w:tcPr>
                <w:p w14:paraId="70AFEBB6">
                  <w:pPr>
                    <w:spacing w:line="240" w:lineRule="auto"/>
                    <w:ind w:firstLine="0" w:firstLineChars="0"/>
                    <w:jc w:val="center"/>
                    <w:rPr>
                      <w:sz w:val="21"/>
                    </w:rPr>
                  </w:pPr>
                  <w:r>
                    <w:rPr>
                      <w:rFonts w:hint="eastAsia"/>
                      <w:sz w:val="21"/>
                    </w:rPr>
                    <w:t>75-80</w:t>
                  </w:r>
                </w:p>
              </w:tc>
              <w:tc>
                <w:tcPr>
                  <w:tcW w:w="936" w:type="pct"/>
                  <w:vMerge w:val="restart"/>
                  <w:vAlign w:val="center"/>
                </w:tcPr>
                <w:p w14:paraId="0E3315A9">
                  <w:pPr>
                    <w:spacing w:line="240" w:lineRule="auto"/>
                    <w:ind w:firstLine="0" w:firstLineChars="0"/>
                    <w:jc w:val="center"/>
                    <w:rPr>
                      <w:sz w:val="21"/>
                    </w:rPr>
                  </w:pPr>
                  <w:r>
                    <w:rPr>
                      <w:sz w:val="21"/>
                    </w:rPr>
                    <w:t>减震、隔声</w:t>
                  </w:r>
                </w:p>
              </w:tc>
              <w:tc>
                <w:tcPr>
                  <w:tcW w:w="781" w:type="pct"/>
                  <w:vMerge w:val="restart"/>
                  <w:vAlign w:val="center"/>
                </w:tcPr>
                <w:p w14:paraId="0018BCFA">
                  <w:pPr>
                    <w:spacing w:line="240" w:lineRule="auto"/>
                    <w:ind w:firstLine="0" w:firstLineChars="0"/>
                    <w:jc w:val="center"/>
                    <w:rPr>
                      <w:sz w:val="21"/>
                    </w:rPr>
                  </w:pPr>
                  <w:r>
                    <w:rPr>
                      <w:rFonts w:hint="eastAsia"/>
                      <w:sz w:val="21"/>
                    </w:rPr>
                    <w:t>厂房1层</w:t>
                  </w:r>
                </w:p>
              </w:tc>
            </w:tr>
            <w:tr w14:paraId="12E412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3AE29829">
                  <w:pPr>
                    <w:spacing w:line="240" w:lineRule="auto"/>
                    <w:ind w:firstLine="0" w:firstLineChars="0"/>
                    <w:jc w:val="center"/>
                    <w:rPr>
                      <w:sz w:val="21"/>
                      <w:szCs w:val="21"/>
                    </w:rPr>
                  </w:pPr>
                  <w:r>
                    <w:rPr>
                      <w:rFonts w:hint="eastAsia"/>
                      <w:sz w:val="21"/>
                      <w:szCs w:val="21"/>
                    </w:rPr>
                    <w:t>2</w:t>
                  </w:r>
                </w:p>
              </w:tc>
              <w:tc>
                <w:tcPr>
                  <w:tcW w:w="2182" w:type="pct"/>
                  <w:vAlign w:val="center"/>
                </w:tcPr>
                <w:p w14:paraId="0E06B0E6">
                  <w:pPr>
                    <w:spacing w:line="240" w:lineRule="auto"/>
                    <w:ind w:firstLine="0" w:firstLineChars="0"/>
                    <w:jc w:val="center"/>
                    <w:rPr>
                      <w:sz w:val="21"/>
                      <w:szCs w:val="21"/>
                    </w:rPr>
                  </w:pPr>
                  <w:r>
                    <w:rPr>
                      <w:rFonts w:hint="eastAsia"/>
                      <w:sz w:val="21"/>
                      <w:szCs w:val="21"/>
                    </w:rPr>
                    <w:t>包装机</w:t>
                  </w:r>
                </w:p>
              </w:tc>
              <w:tc>
                <w:tcPr>
                  <w:tcW w:w="628" w:type="pct"/>
                  <w:vAlign w:val="center"/>
                </w:tcPr>
                <w:p w14:paraId="011700D2">
                  <w:pPr>
                    <w:spacing w:line="240" w:lineRule="auto"/>
                    <w:ind w:firstLine="0" w:firstLineChars="0"/>
                    <w:jc w:val="center"/>
                    <w:rPr>
                      <w:sz w:val="21"/>
                    </w:rPr>
                  </w:pPr>
                  <w:r>
                    <w:rPr>
                      <w:rFonts w:hint="eastAsia"/>
                      <w:sz w:val="21"/>
                    </w:rPr>
                    <w:t>70</w:t>
                  </w:r>
                  <w:r>
                    <w:rPr>
                      <w:sz w:val="21"/>
                    </w:rPr>
                    <w:t>-</w:t>
                  </w:r>
                  <w:r>
                    <w:rPr>
                      <w:rFonts w:hint="eastAsia"/>
                      <w:sz w:val="21"/>
                    </w:rPr>
                    <w:t>75</w:t>
                  </w:r>
                </w:p>
              </w:tc>
              <w:tc>
                <w:tcPr>
                  <w:tcW w:w="936" w:type="pct"/>
                  <w:vMerge w:val="continue"/>
                  <w:vAlign w:val="center"/>
                </w:tcPr>
                <w:p w14:paraId="66126139">
                  <w:pPr>
                    <w:spacing w:line="240" w:lineRule="auto"/>
                    <w:ind w:firstLine="0" w:firstLineChars="0"/>
                    <w:jc w:val="center"/>
                    <w:rPr>
                      <w:sz w:val="21"/>
                    </w:rPr>
                  </w:pPr>
                </w:p>
              </w:tc>
              <w:tc>
                <w:tcPr>
                  <w:tcW w:w="781" w:type="pct"/>
                  <w:vMerge w:val="continue"/>
                  <w:vAlign w:val="center"/>
                </w:tcPr>
                <w:p w14:paraId="2F5960E4">
                  <w:pPr>
                    <w:spacing w:line="240" w:lineRule="auto"/>
                    <w:ind w:firstLine="0" w:firstLineChars="0"/>
                    <w:jc w:val="center"/>
                    <w:rPr>
                      <w:sz w:val="21"/>
                    </w:rPr>
                  </w:pPr>
                </w:p>
              </w:tc>
            </w:tr>
            <w:tr w14:paraId="39A848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25CA73F2">
                  <w:pPr>
                    <w:spacing w:line="240" w:lineRule="auto"/>
                    <w:ind w:firstLine="0" w:firstLineChars="0"/>
                    <w:jc w:val="center"/>
                    <w:rPr>
                      <w:sz w:val="21"/>
                      <w:szCs w:val="21"/>
                    </w:rPr>
                  </w:pPr>
                  <w:r>
                    <w:rPr>
                      <w:rFonts w:hint="eastAsia"/>
                      <w:sz w:val="21"/>
                      <w:szCs w:val="21"/>
                    </w:rPr>
                    <w:t>3</w:t>
                  </w:r>
                </w:p>
              </w:tc>
              <w:tc>
                <w:tcPr>
                  <w:tcW w:w="2182" w:type="pct"/>
                  <w:vAlign w:val="center"/>
                </w:tcPr>
                <w:p w14:paraId="58056210">
                  <w:pPr>
                    <w:spacing w:line="240" w:lineRule="auto"/>
                    <w:ind w:firstLine="0" w:firstLineChars="0"/>
                    <w:jc w:val="center"/>
                    <w:rPr>
                      <w:sz w:val="21"/>
                      <w:szCs w:val="21"/>
                    </w:rPr>
                  </w:pPr>
                  <w:r>
                    <w:rPr>
                      <w:rFonts w:hint="eastAsia"/>
                      <w:sz w:val="21"/>
                      <w:szCs w:val="21"/>
                    </w:rPr>
                    <w:t>脉冲布袋除尘器</w:t>
                  </w:r>
                </w:p>
              </w:tc>
              <w:tc>
                <w:tcPr>
                  <w:tcW w:w="628" w:type="pct"/>
                  <w:vAlign w:val="center"/>
                </w:tcPr>
                <w:p w14:paraId="3EFCDB2A">
                  <w:pPr>
                    <w:spacing w:line="240" w:lineRule="auto"/>
                    <w:ind w:firstLine="0" w:firstLineChars="0"/>
                    <w:jc w:val="center"/>
                    <w:rPr>
                      <w:sz w:val="21"/>
                    </w:rPr>
                  </w:pPr>
                  <w:r>
                    <w:rPr>
                      <w:rFonts w:hint="eastAsia"/>
                      <w:sz w:val="21"/>
                    </w:rPr>
                    <w:t>70</w:t>
                  </w:r>
                  <w:r>
                    <w:rPr>
                      <w:sz w:val="21"/>
                    </w:rPr>
                    <w:t>-</w:t>
                  </w:r>
                  <w:r>
                    <w:rPr>
                      <w:rFonts w:hint="eastAsia"/>
                      <w:sz w:val="21"/>
                    </w:rPr>
                    <w:t>75</w:t>
                  </w:r>
                </w:p>
              </w:tc>
              <w:tc>
                <w:tcPr>
                  <w:tcW w:w="936" w:type="pct"/>
                  <w:vMerge w:val="continue"/>
                  <w:vAlign w:val="center"/>
                </w:tcPr>
                <w:p w14:paraId="02270B35">
                  <w:pPr>
                    <w:spacing w:line="240" w:lineRule="auto"/>
                    <w:ind w:firstLine="0" w:firstLineChars="0"/>
                    <w:jc w:val="center"/>
                    <w:rPr>
                      <w:sz w:val="21"/>
                    </w:rPr>
                  </w:pPr>
                </w:p>
              </w:tc>
              <w:tc>
                <w:tcPr>
                  <w:tcW w:w="781" w:type="pct"/>
                  <w:vMerge w:val="continue"/>
                  <w:vAlign w:val="center"/>
                </w:tcPr>
                <w:p w14:paraId="0EE2F702">
                  <w:pPr>
                    <w:spacing w:line="240" w:lineRule="auto"/>
                    <w:ind w:firstLine="0" w:firstLineChars="0"/>
                    <w:jc w:val="center"/>
                    <w:rPr>
                      <w:sz w:val="21"/>
                    </w:rPr>
                  </w:pPr>
                </w:p>
              </w:tc>
            </w:tr>
            <w:tr w14:paraId="1B061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60DF6BD0">
                  <w:pPr>
                    <w:spacing w:line="240" w:lineRule="auto"/>
                    <w:ind w:firstLine="0" w:firstLineChars="0"/>
                    <w:jc w:val="center"/>
                    <w:rPr>
                      <w:sz w:val="21"/>
                      <w:szCs w:val="21"/>
                    </w:rPr>
                  </w:pPr>
                  <w:r>
                    <w:rPr>
                      <w:rFonts w:hint="eastAsia"/>
                      <w:sz w:val="21"/>
                      <w:szCs w:val="21"/>
                    </w:rPr>
                    <w:t>4</w:t>
                  </w:r>
                </w:p>
              </w:tc>
              <w:tc>
                <w:tcPr>
                  <w:tcW w:w="2182" w:type="pct"/>
                  <w:vAlign w:val="center"/>
                </w:tcPr>
                <w:p w14:paraId="75DB949D">
                  <w:pPr>
                    <w:spacing w:line="240" w:lineRule="auto"/>
                    <w:ind w:firstLine="0" w:firstLineChars="0"/>
                    <w:jc w:val="center"/>
                    <w:rPr>
                      <w:sz w:val="21"/>
                      <w:szCs w:val="21"/>
                    </w:rPr>
                  </w:pPr>
                  <w:r>
                    <w:rPr>
                      <w:rFonts w:hint="eastAsia"/>
                      <w:sz w:val="21"/>
                      <w:szCs w:val="21"/>
                    </w:rPr>
                    <w:t>叉车</w:t>
                  </w:r>
                </w:p>
              </w:tc>
              <w:tc>
                <w:tcPr>
                  <w:tcW w:w="628" w:type="pct"/>
                  <w:vAlign w:val="center"/>
                </w:tcPr>
                <w:p w14:paraId="48F47CD9">
                  <w:pPr>
                    <w:spacing w:line="240" w:lineRule="auto"/>
                    <w:ind w:firstLine="0" w:firstLineChars="0"/>
                    <w:jc w:val="center"/>
                    <w:rPr>
                      <w:sz w:val="21"/>
                    </w:rPr>
                  </w:pPr>
                  <w:r>
                    <w:rPr>
                      <w:rFonts w:hint="eastAsia"/>
                      <w:sz w:val="21"/>
                    </w:rPr>
                    <w:t>70</w:t>
                  </w:r>
                  <w:r>
                    <w:rPr>
                      <w:sz w:val="21"/>
                    </w:rPr>
                    <w:t>-</w:t>
                  </w:r>
                  <w:r>
                    <w:rPr>
                      <w:rFonts w:hint="eastAsia"/>
                      <w:sz w:val="21"/>
                    </w:rPr>
                    <w:t>75</w:t>
                  </w:r>
                </w:p>
              </w:tc>
              <w:tc>
                <w:tcPr>
                  <w:tcW w:w="936" w:type="pct"/>
                  <w:vMerge w:val="continue"/>
                  <w:vAlign w:val="center"/>
                </w:tcPr>
                <w:p w14:paraId="0DDD4F7C">
                  <w:pPr>
                    <w:spacing w:line="240" w:lineRule="auto"/>
                    <w:ind w:firstLine="0" w:firstLineChars="0"/>
                    <w:jc w:val="center"/>
                    <w:rPr>
                      <w:sz w:val="21"/>
                    </w:rPr>
                  </w:pPr>
                </w:p>
              </w:tc>
              <w:tc>
                <w:tcPr>
                  <w:tcW w:w="781" w:type="pct"/>
                  <w:vMerge w:val="continue"/>
                  <w:vAlign w:val="center"/>
                </w:tcPr>
                <w:p w14:paraId="2AC39988">
                  <w:pPr>
                    <w:spacing w:line="240" w:lineRule="auto"/>
                    <w:ind w:firstLine="0" w:firstLineChars="0"/>
                    <w:jc w:val="center"/>
                    <w:rPr>
                      <w:sz w:val="21"/>
                    </w:rPr>
                  </w:pPr>
                </w:p>
              </w:tc>
            </w:tr>
            <w:tr w14:paraId="35464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153CA464">
                  <w:pPr>
                    <w:spacing w:line="240" w:lineRule="auto"/>
                    <w:ind w:firstLine="0" w:firstLineChars="0"/>
                    <w:jc w:val="center"/>
                    <w:rPr>
                      <w:sz w:val="21"/>
                      <w:szCs w:val="21"/>
                    </w:rPr>
                  </w:pPr>
                  <w:r>
                    <w:rPr>
                      <w:rFonts w:hint="eastAsia"/>
                      <w:sz w:val="21"/>
                      <w:szCs w:val="21"/>
                    </w:rPr>
                    <w:t>5</w:t>
                  </w:r>
                </w:p>
              </w:tc>
              <w:tc>
                <w:tcPr>
                  <w:tcW w:w="2182" w:type="pct"/>
                  <w:vAlign w:val="center"/>
                </w:tcPr>
                <w:p w14:paraId="24992BD1">
                  <w:pPr>
                    <w:spacing w:line="240" w:lineRule="auto"/>
                    <w:ind w:firstLine="0" w:firstLineChars="0"/>
                    <w:jc w:val="center"/>
                    <w:rPr>
                      <w:sz w:val="21"/>
                      <w:szCs w:val="21"/>
                    </w:rPr>
                  </w:pPr>
                  <w:r>
                    <w:rPr>
                      <w:rFonts w:hint="eastAsia"/>
                      <w:sz w:val="21"/>
                      <w:szCs w:val="21"/>
                    </w:rPr>
                    <w:t>风机</w:t>
                  </w:r>
                </w:p>
              </w:tc>
              <w:tc>
                <w:tcPr>
                  <w:tcW w:w="628" w:type="pct"/>
                  <w:vAlign w:val="center"/>
                </w:tcPr>
                <w:p w14:paraId="4F2F9CAB">
                  <w:pPr>
                    <w:spacing w:line="240" w:lineRule="auto"/>
                    <w:ind w:firstLine="0" w:firstLineChars="0"/>
                    <w:jc w:val="center"/>
                    <w:rPr>
                      <w:sz w:val="21"/>
                    </w:rPr>
                  </w:pPr>
                  <w:r>
                    <w:rPr>
                      <w:rFonts w:hint="eastAsia"/>
                      <w:sz w:val="21"/>
                    </w:rPr>
                    <w:t>75-80</w:t>
                  </w:r>
                </w:p>
              </w:tc>
              <w:tc>
                <w:tcPr>
                  <w:tcW w:w="936" w:type="pct"/>
                  <w:vMerge w:val="continue"/>
                  <w:vAlign w:val="center"/>
                </w:tcPr>
                <w:p w14:paraId="108103BE">
                  <w:pPr>
                    <w:spacing w:line="240" w:lineRule="auto"/>
                    <w:ind w:firstLine="0" w:firstLineChars="0"/>
                    <w:jc w:val="center"/>
                    <w:rPr>
                      <w:sz w:val="21"/>
                    </w:rPr>
                  </w:pPr>
                </w:p>
              </w:tc>
              <w:tc>
                <w:tcPr>
                  <w:tcW w:w="781" w:type="pct"/>
                  <w:vMerge w:val="continue"/>
                  <w:vAlign w:val="center"/>
                </w:tcPr>
                <w:p w14:paraId="65DA1411">
                  <w:pPr>
                    <w:spacing w:line="240" w:lineRule="auto"/>
                    <w:ind w:firstLine="0" w:firstLineChars="0"/>
                    <w:jc w:val="center"/>
                    <w:rPr>
                      <w:sz w:val="21"/>
                    </w:rPr>
                  </w:pPr>
                </w:p>
              </w:tc>
            </w:tr>
            <w:tr w14:paraId="1CCBC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5BA15EF4">
                  <w:pPr>
                    <w:spacing w:line="240" w:lineRule="auto"/>
                    <w:ind w:firstLine="0" w:firstLineChars="0"/>
                    <w:jc w:val="center"/>
                    <w:rPr>
                      <w:sz w:val="21"/>
                      <w:szCs w:val="21"/>
                    </w:rPr>
                  </w:pPr>
                  <w:r>
                    <w:rPr>
                      <w:rFonts w:hint="eastAsia"/>
                      <w:sz w:val="21"/>
                      <w:szCs w:val="21"/>
                    </w:rPr>
                    <w:t>6</w:t>
                  </w:r>
                </w:p>
              </w:tc>
              <w:tc>
                <w:tcPr>
                  <w:tcW w:w="2182" w:type="pct"/>
                  <w:vAlign w:val="center"/>
                </w:tcPr>
                <w:p w14:paraId="2A8FAE5E">
                  <w:pPr>
                    <w:spacing w:line="240" w:lineRule="auto"/>
                    <w:ind w:firstLine="0" w:firstLineChars="0"/>
                    <w:jc w:val="center"/>
                    <w:rPr>
                      <w:sz w:val="21"/>
                      <w:szCs w:val="21"/>
                    </w:rPr>
                  </w:pPr>
                  <w:r>
                    <w:rPr>
                      <w:rFonts w:hint="eastAsia"/>
                      <w:sz w:val="21"/>
                      <w:szCs w:val="21"/>
                    </w:rPr>
                    <w:t>空压机</w:t>
                  </w:r>
                </w:p>
              </w:tc>
              <w:tc>
                <w:tcPr>
                  <w:tcW w:w="628" w:type="pct"/>
                  <w:vAlign w:val="center"/>
                </w:tcPr>
                <w:p w14:paraId="39F4A387">
                  <w:pPr>
                    <w:spacing w:line="240" w:lineRule="auto"/>
                    <w:ind w:firstLine="0" w:firstLineChars="0"/>
                    <w:jc w:val="center"/>
                    <w:rPr>
                      <w:sz w:val="21"/>
                    </w:rPr>
                  </w:pPr>
                  <w:r>
                    <w:rPr>
                      <w:rFonts w:hint="eastAsia"/>
                      <w:sz w:val="21"/>
                    </w:rPr>
                    <w:t>75-80</w:t>
                  </w:r>
                </w:p>
              </w:tc>
              <w:tc>
                <w:tcPr>
                  <w:tcW w:w="936" w:type="pct"/>
                  <w:vMerge w:val="continue"/>
                  <w:vAlign w:val="center"/>
                </w:tcPr>
                <w:p w14:paraId="339194E6">
                  <w:pPr>
                    <w:spacing w:line="240" w:lineRule="auto"/>
                    <w:ind w:firstLine="0" w:firstLineChars="0"/>
                    <w:jc w:val="center"/>
                    <w:rPr>
                      <w:sz w:val="21"/>
                    </w:rPr>
                  </w:pPr>
                </w:p>
              </w:tc>
              <w:tc>
                <w:tcPr>
                  <w:tcW w:w="781" w:type="pct"/>
                  <w:vMerge w:val="continue"/>
                  <w:vAlign w:val="center"/>
                </w:tcPr>
                <w:p w14:paraId="1B7334CB">
                  <w:pPr>
                    <w:spacing w:line="240" w:lineRule="auto"/>
                    <w:ind w:firstLine="0" w:firstLineChars="0"/>
                    <w:jc w:val="center"/>
                    <w:rPr>
                      <w:sz w:val="21"/>
                    </w:rPr>
                  </w:pPr>
                </w:p>
              </w:tc>
            </w:tr>
            <w:tr w14:paraId="31CA3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28AC7F3B">
                  <w:pPr>
                    <w:spacing w:line="240" w:lineRule="auto"/>
                    <w:ind w:firstLine="0" w:firstLineChars="0"/>
                    <w:jc w:val="center"/>
                    <w:rPr>
                      <w:sz w:val="21"/>
                      <w:szCs w:val="21"/>
                    </w:rPr>
                  </w:pPr>
                  <w:r>
                    <w:rPr>
                      <w:rFonts w:hint="eastAsia"/>
                      <w:sz w:val="21"/>
                      <w:szCs w:val="21"/>
                    </w:rPr>
                    <w:t>7</w:t>
                  </w:r>
                </w:p>
              </w:tc>
              <w:tc>
                <w:tcPr>
                  <w:tcW w:w="2182" w:type="pct"/>
                  <w:vAlign w:val="center"/>
                </w:tcPr>
                <w:p w14:paraId="77FACE5E">
                  <w:pPr>
                    <w:spacing w:line="240" w:lineRule="auto"/>
                    <w:ind w:firstLine="0" w:firstLineChars="0"/>
                    <w:jc w:val="center"/>
                    <w:rPr>
                      <w:sz w:val="21"/>
                      <w:szCs w:val="21"/>
                    </w:rPr>
                  </w:pPr>
                  <w:r>
                    <w:rPr>
                      <w:rFonts w:hint="eastAsia"/>
                      <w:sz w:val="21"/>
                      <w:szCs w:val="21"/>
                    </w:rPr>
                    <w:t>干燥机</w:t>
                  </w:r>
                </w:p>
              </w:tc>
              <w:tc>
                <w:tcPr>
                  <w:tcW w:w="628" w:type="pct"/>
                  <w:vAlign w:val="center"/>
                </w:tcPr>
                <w:p w14:paraId="3B47BBFF">
                  <w:pPr>
                    <w:spacing w:line="240" w:lineRule="auto"/>
                    <w:ind w:firstLine="0" w:firstLineChars="0"/>
                    <w:jc w:val="center"/>
                    <w:rPr>
                      <w:sz w:val="21"/>
                    </w:rPr>
                  </w:pPr>
                  <w:r>
                    <w:rPr>
                      <w:rFonts w:hint="eastAsia"/>
                      <w:sz w:val="21"/>
                    </w:rPr>
                    <w:t>70</w:t>
                  </w:r>
                  <w:r>
                    <w:rPr>
                      <w:sz w:val="21"/>
                    </w:rPr>
                    <w:t>-</w:t>
                  </w:r>
                  <w:r>
                    <w:rPr>
                      <w:rFonts w:hint="eastAsia"/>
                      <w:sz w:val="21"/>
                    </w:rPr>
                    <w:t>75</w:t>
                  </w:r>
                </w:p>
              </w:tc>
              <w:tc>
                <w:tcPr>
                  <w:tcW w:w="936" w:type="pct"/>
                  <w:vMerge w:val="continue"/>
                  <w:vAlign w:val="center"/>
                </w:tcPr>
                <w:p w14:paraId="49E48D1D">
                  <w:pPr>
                    <w:spacing w:line="240" w:lineRule="auto"/>
                    <w:ind w:firstLine="0" w:firstLineChars="0"/>
                    <w:jc w:val="center"/>
                    <w:rPr>
                      <w:sz w:val="21"/>
                    </w:rPr>
                  </w:pPr>
                </w:p>
              </w:tc>
              <w:tc>
                <w:tcPr>
                  <w:tcW w:w="781" w:type="pct"/>
                  <w:vMerge w:val="continue"/>
                  <w:vAlign w:val="center"/>
                </w:tcPr>
                <w:p w14:paraId="4E71EC0F">
                  <w:pPr>
                    <w:spacing w:line="240" w:lineRule="auto"/>
                    <w:ind w:firstLine="0" w:firstLineChars="0"/>
                    <w:jc w:val="center"/>
                    <w:rPr>
                      <w:sz w:val="21"/>
                    </w:rPr>
                  </w:pPr>
                </w:p>
              </w:tc>
            </w:tr>
            <w:tr w14:paraId="44EFE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24999B50">
                  <w:pPr>
                    <w:spacing w:line="240" w:lineRule="auto"/>
                    <w:ind w:firstLine="0" w:firstLineChars="0"/>
                    <w:jc w:val="center"/>
                    <w:rPr>
                      <w:sz w:val="21"/>
                      <w:szCs w:val="21"/>
                    </w:rPr>
                  </w:pPr>
                  <w:r>
                    <w:rPr>
                      <w:rFonts w:hint="eastAsia"/>
                      <w:sz w:val="21"/>
                      <w:szCs w:val="21"/>
                    </w:rPr>
                    <w:t>8</w:t>
                  </w:r>
                </w:p>
              </w:tc>
              <w:tc>
                <w:tcPr>
                  <w:tcW w:w="2182" w:type="pct"/>
                  <w:vAlign w:val="center"/>
                </w:tcPr>
                <w:p w14:paraId="096B6346">
                  <w:pPr>
                    <w:spacing w:line="240" w:lineRule="auto"/>
                    <w:ind w:firstLine="0" w:firstLineChars="0"/>
                    <w:jc w:val="center"/>
                    <w:rPr>
                      <w:sz w:val="21"/>
                      <w:szCs w:val="21"/>
                    </w:rPr>
                  </w:pPr>
                  <w:r>
                    <w:rPr>
                      <w:rFonts w:hint="eastAsia"/>
                      <w:sz w:val="21"/>
                      <w:szCs w:val="21"/>
                    </w:rPr>
                    <w:t>螺旋输送机</w:t>
                  </w:r>
                </w:p>
              </w:tc>
              <w:tc>
                <w:tcPr>
                  <w:tcW w:w="628" w:type="pct"/>
                  <w:vAlign w:val="center"/>
                </w:tcPr>
                <w:p w14:paraId="3EDE52F3">
                  <w:pPr>
                    <w:spacing w:line="240" w:lineRule="auto"/>
                    <w:ind w:firstLine="0" w:firstLineChars="0"/>
                    <w:jc w:val="center"/>
                    <w:rPr>
                      <w:sz w:val="21"/>
                    </w:rPr>
                  </w:pPr>
                  <w:r>
                    <w:rPr>
                      <w:rFonts w:hint="eastAsia"/>
                      <w:sz w:val="21"/>
                    </w:rPr>
                    <w:t>70</w:t>
                  </w:r>
                  <w:r>
                    <w:rPr>
                      <w:sz w:val="21"/>
                    </w:rPr>
                    <w:t>-</w:t>
                  </w:r>
                  <w:r>
                    <w:rPr>
                      <w:rFonts w:hint="eastAsia"/>
                      <w:sz w:val="21"/>
                    </w:rPr>
                    <w:t>75</w:t>
                  </w:r>
                </w:p>
              </w:tc>
              <w:tc>
                <w:tcPr>
                  <w:tcW w:w="936" w:type="pct"/>
                  <w:vMerge w:val="continue"/>
                  <w:vAlign w:val="center"/>
                </w:tcPr>
                <w:p w14:paraId="6B40FF8B">
                  <w:pPr>
                    <w:spacing w:line="240" w:lineRule="auto"/>
                    <w:ind w:firstLine="0" w:firstLineChars="0"/>
                    <w:jc w:val="center"/>
                    <w:rPr>
                      <w:sz w:val="21"/>
                    </w:rPr>
                  </w:pPr>
                </w:p>
              </w:tc>
              <w:tc>
                <w:tcPr>
                  <w:tcW w:w="781" w:type="pct"/>
                  <w:vMerge w:val="continue"/>
                  <w:vAlign w:val="center"/>
                </w:tcPr>
                <w:p w14:paraId="0499C7B7">
                  <w:pPr>
                    <w:spacing w:line="240" w:lineRule="auto"/>
                    <w:ind w:firstLine="0" w:firstLineChars="0"/>
                    <w:jc w:val="center"/>
                    <w:rPr>
                      <w:sz w:val="21"/>
                    </w:rPr>
                  </w:pPr>
                </w:p>
              </w:tc>
            </w:tr>
          </w:tbl>
          <w:p w14:paraId="52069199">
            <w:pPr>
              <w:keepNext/>
              <w:keepLines/>
              <w:ind w:firstLine="0" w:firstLineChars="0"/>
              <w:jc w:val="left"/>
              <w:outlineLvl w:val="3"/>
              <w:rPr>
                <w:b/>
                <w:bCs/>
                <w:szCs w:val="28"/>
              </w:rPr>
            </w:pPr>
            <w:r>
              <w:rPr>
                <w:rFonts w:hint="eastAsia"/>
                <w:b/>
                <w:bCs/>
                <w:szCs w:val="28"/>
              </w:rPr>
              <w:t>4.2.4.2</w:t>
            </w:r>
            <w:r>
              <w:rPr>
                <w:b/>
                <w:bCs/>
                <w:szCs w:val="28"/>
              </w:rPr>
              <w:t>运营期声环境影响分析</w:t>
            </w:r>
          </w:p>
          <w:p w14:paraId="0F3CD5ED">
            <w:pPr>
              <w:ind w:firstLine="480"/>
            </w:pPr>
            <w:r>
              <w:t>项目噪声预测模式采用《环境影响评价技术导则</w:t>
            </w:r>
            <w:r>
              <w:rPr>
                <w:rFonts w:hint="eastAsia"/>
              </w:rPr>
              <w:t xml:space="preserve"> </w:t>
            </w:r>
            <w:r>
              <w:t>声环境》</w:t>
            </w:r>
            <w:r>
              <w:rPr>
                <w:rFonts w:hint="eastAsia"/>
              </w:rPr>
              <w:t>（</w:t>
            </w:r>
            <w:r>
              <w:t>HJ2.4-20</w:t>
            </w:r>
            <w:r>
              <w:rPr>
                <w:rFonts w:hint="eastAsia"/>
              </w:rPr>
              <w:t>21）</w:t>
            </w:r>
            <w:r>
              <w:t>中附录A户外声传播的衰减</w:t>
            </w:r>
            <w:r>
              <w:rPr>
                <w:rFonts w:hint="eastAsia"/>
              </w:rPr>
              <w:t>及</w:t>
            </w:r>
            <w:r>
              <w:t>附录B典型行业噪声预测模型</w:t>
            </w:r>
            <w:r>
              <w:rPr>
                <w:rFonts w:hint="eastAsia"/>
              </w:rPr>
              <w:t>进行分析。</w:t>
            </w:r>
          </w:p>
          <w:p w14:paraId="137A27AB">
            <w:pPr>
              <w:ind w:firstLine="482"/>
              <w:rPr>
                <w:b/>
                <w:bCs/>
              </w:rPr>
            </w:pPr>
            <w:r>
              <w:rPr>
                <w:rFonts w:hint="eastAsia"/>
                <w:b/>
                <w:bCs/>
              </w:rPr>
              <w:t>（1）</w:t>
            </w:r>
            <w:r>
              <w:rPr>
                <w:b/>
                <w:bCs/>
              </w:rPr>
              <w:t>室内声源</w:t>
            </w:r>
            <w:r>
              <w:rPr>
                <w:rFonts w:hint="eastAsia"/>
                <w:b/>
                <w:bCs/>
              </w:rPr>
              <w:t>等效室外声源声功率级计算方法</w:t>
            </w:r>
          </w:p>
          <w:p w14:paraId="5063A283">
            <w:pPr>
              <w:ind w:firstLine="480"/>
            </w:pPr>
            <w:r>
              <w:rPr>
                <w:rFonts w:hint="eastAsia"/>
              </w:rPr>
              <w:t>①</w:t>
            </w:r>
            <w:r>
              <w:t>如</w:t>
            </w:r>
            <w:r>
              <w:rPr>
                <w:rFonts w:hint="eastAsia"/>
              </w:rPr>
              <w:t>下</w:t>
            </w:r>
            <w:r>
              <w:t>图所示，</w:t>
            </w:r>
            <w:r>
              <w:rPr>
                <w:rFonts w:hint="eastAsia"/>
              </w:rPr>
              <w:t>声源位于室内，室内声源可采用等效室外声源声功率级法进行计算。设靠近开口处（或窗户）室内、室外某倍频带的声压级或A声级分别为L</w:t>
            </w:r>
            <w:r>
              <w:rPr>
                <w:rFonts w:hint="eastAsia"/>
                <w:vertAlign w:val="subscript"/>
              </w:rPr>
              <w:t>p1</w:t>
            </w:r>
            <w:r>
              <w:rPr>
                <w:rFonts w:hint="eastAsia"/>
              </w:rPr>
              <w:t>和L</w:t>
            </w:r>
            <w:r>
              <w:rPr>
                <w:rFonts w:hint="eastAsia"/>
                <w:vertAlign w:val="subscript"/>
              </w:rPr>
              <w:t>p2</w:t>
            </w:r>
            <w:r>
              <w:rPr>
                <w:rFonts w:hint="eastAsia"/>
              </w:rPr>
              <w:t>。若声源所在室内声场为近似扩散声场，则室外的倍频带声压级可按下式近似求出：</w:t>
            </w:r>
          </w:p>
          <w:p w14:paraId="74D73565">
            <w:pPr>
              <w:adjustRightInd w:val="0"/>
              <w:snapToGrid w:val="0"/>
              <w:ind w:firstLine="0" w:firstLineChars="0"/>
              <w:jc w:val="center"/>
            </w:pPr>
            <w:r>
              <w:drawing>
                <wp:inline distT="0" distB="0" distL="0" distR="0">
                  <wp:extent cx="1242060" cy="238760"/>
                  <wp:effectExtent l="0" t="0" r="0" b="8890"/>
                  <wp:docPr id="17"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242060" cy="238760"/>
                          </a:xfrm>
                          <a:prstGeom prst="rect">
                            <a:avLst/>
                          </a:prstGeom>
                          <a:noFill/>
                          <a:ln>
                            <a:noFill/>
                          </a:ln>
                        </pic:spPr>
                      </pic:pic>
                    </a:graphicData>
                  </a:graphic>
                </wp:inline>
              </w:drawing>
            </w:r>
          </w:p>
          <w:p w14:paraId="010B410A">
            <w:pPr>
              <w:adjustRightInd w:val="0"/>
              <w:snapToGrid w:val="0"/>
              <w:ind w:firstLine="480"/>
            </w:pPr>
            <w:r>
              <w:rPr>
                <w:rFonts w:hint="eastAsia"/>
              </w:rPr>
              <w:t>式中：</w:t>
            </w:r>
          </w:p>
          <w:p w14:paraId="18B75B08">
            <w:pPr>
              <w:adjustRightInd w:val="0"/>
              <w:snapToGrid w:val="0"/>
              <w:ind w:firstLine="480"/>
            </w:pPr>
            <w:r>
              <w:rPr>
                <w:rFonts w:hint="eastAsia"/>
              </w:rPr>
              <w:t>L</w:t>
            </w:r>
            <w:r>
              <w:rPr>
                <w:rFonts w:hint="eastAsia"/>
                <w:vertAlign w:val="subscript"/>
              </w:rPr>
              <w:t>p1</w:t>
            </w:r>
            <w:r>
              <w:rPr>
                <w:rFonts w:hint="eastAsia"/>
              </w:rPr>
              <w:t>—靠近开口处（或窗户）室内某倍频带的声压级或A声级，dB；</w:t>
            </w:r>
          </w:p>
          <w:p w14:paraId="435FF0B2">
            <w:pPr>
              <w:adjustRightInd w:val="0"/>
              <w:snapToGrid w:val="0"/>
              <w:ind w:firstLine="480"/>
            </w:pPr>
            <w:r>
              <w:rPr>
                <w:rFonts w:hint="eastAsia"/>
              </w:rPr>
              <w:t>L</w:t>
            </w:r>
            <w:r>
              <w:rPr>
                <w:rFonts w:hint="eastAsia"/>
                <w:vertAlign w:val="subscript"/>
              </w:rPr>
              <w:t>p2</w:t>
            </w:r>
            <w:r>
              <w:rPr>
                <w:rFonts w:hint="eastAsia"/>
              </w:rPr>
              <w:t>—靠近开口处（或窗户）室外某倍频带的声压级或A声级，dB；</w:t>
            </w:r>
          </w:p>
          <w:p w14:paraId="457F0B7D">
            <w:pPr>
              <w:adjustRightInd w:val="0"/>
              <w:snapToGrid w:val="0"/>
              <w:ind w:firstLine="480"/>
            </w:pPr>
            <w:r>
              <w:rPr>
                <w:rFonts w:hint="eastAsia"/>
              </w:rPr>
              <w:t>TL—隔墙（或窗户）倍频带或A声级的隔声量，dB。</w:t>
            </w:r>
          </w:p>
          <w:p w14:paraId="49B75253">
            <w:pPr>
              <w:adjustRightInd w:val="0"/>
              <w:snapToGrid w:val="0"/>
              <w:ind w:firstLine="0" w:firstLineChars="0"/>
              <w:jc w:val="center"/>
            </w:pPr>
            <w:r>
              <w:drawing>
                <wp:inline distT="0" distB="0" distL="0" distR="0">
                  <wp:extent cx="2606675" cy="1439545"/>
                  <wp:effectExtent l="0" t="0" r="3175" b="8255"/>
                  <wp:docPr id="18"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606675" cy="1439545"/>
                          </a:xfrm>
                          <a:prstGeom prst="rect">
                            <a:avLst/>
                          </a:prstGeom>
                          <a:noFill/>
                          <a:ln>
                            <a:noFill/>
                          </a:ln>
                        </pic:spPr>
                      </pic:pic>
                    </a:graphicData>
                  </a:graphic>
                </wp:inline>
              </w:drawing>
            </w:r>
          </w:p>
          <w:p w14:paraId="43072572">
            <w:pPr>
              <w:adjustRightInd w:val="0"/>
              <w:snapToGrid w:val="0"/>
              <w:ind w:firstLine="0" w:firstLineChars="0"/>
              <w:jc w:val="center"/>
              <w:rPr>
                <w:rFonts w:eastAsia="黑体"/>
              </w:rPr>
            </w:pPr>
            <w:r>
              <w:rPr>
                <w:b/>
                <w:kern w:val="0"/>
              </w:rPr>
              <w:t>图4.</w:t>
            </w:r>
            <w:r>
              <w:rPr>
                <w:rFonts w:hint="eastAsia"/>
                <w:b/>
                <w:kern w:val="0"/>
              </w:rPr>
              <w:t>2</w:t>
            </w:r>
            <w:r>
              <w:rPr>
                <w:b/>
                <w:kern w:val="0"/>
              </w:rPr>
              <w:t>-</w:t>
            </w:r>
            <w:r>
              <w:rPr>
                <w:rFonts w:hint="eastAsia"/>
                <w:b/>
                <w:kern w:val="0"/>
              </w:rPr>
              <w:t>5</w:t>
            </w:r>
            <w:r>
              <w:rPr>
                <w:b/>
                <w:kern w:val="0"/>
              </w:rPr>
              <w:t xml:space="preserve"> 室内声源等效室外声源图例</w:t>
            </w:r>
          </w:p>
          <w:p w14:paraId="50731C44">
            <w:pPr>
              <w:adjustRightInd w:val="0"/>
              <w:snapToGrid w:val="0"/>
              <w:ind w:firstLine="480"/>
            </w:pPr>
            <w:r>
              <w:rPr>
                <w:rFonts w:hint="eastAsia"/>
              </w:rPr>
              <w:t>②按下式计算某一室内声源靠近围护结构处产生的倍频带声压级或A声级：</w:t>
            </w:r>
          </w:p>
          <w:p w14:paraId="4D14A24E">
            <w:pPr>
              <w:adjustRightInd w:val="0"/>
              <w:snapToGrid w:val="0"/>
              <w:ind w:firstLine="0" w:firstLineChars="0"/>
              <w:jc w:val="center"/>
            </w:pPr>
            <w:r>
              <w:drawing>
                <wp:inline distT="0" distB="0" distL="0" distR="0">
                  <wp:extent cx="1712595" cy="484505"/>
                  <wp:effectExtent l="0" t="0" r="1905" b="0"/>
                  <wp:docPr id="19"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1712595" cy="484505"/>
                          </a:xfrm>
                          <a:prstGeom prst="rect">
                            <a:avLst/>
                          </a:prstGeom>
                          <a:noFill/>
                          <a:ln>
                            <a:noFill/>
                          </a:ln>
                        </pic:spPr>
                      </pic:pic>
                    </a:graphicData>
                  </a:graphic>
                </wp:inline>
              </w:drawing>
            </w:r>
          </w:p>
          <w:p w14:paraId="4F91C38C">
            <w:pPr>
              <w:adjustRightInd w:val="0"/>
              <w:snapToGrid w:val="0"/>
              <w:ind w:firstLine="480"/>
              <w:rPr>
                <w:rFonts w:hAnsi="宋体" w:cs="宋体"/>
              </w:rPr>
            </w:pPr>
            <w:r>
              <w:rPr>
                <w:rFonts w:hint="eastAsia" w:hAnsi="宋体" w:cs="宋体"/>
              </w:rPr>
              <w:t>式中：</w:t>
            </w:r>
          </w:p>
          <w:p w14:paraId="7077CCA4">
            <w:pPr>
              <w:adjustRightInd w:val="0"/>
              <w:snapToGrid w:val="0"/>
              <w:ind w:firstLine="480"/>
              <w:rPr>
                <w:rFonts w:hAnsi="宋体" w:cs="宋体"/>
              </w:rPr>
            </w:pPr>
            <w:r>
              <w:rPr>
                <w:rFonts w:hint="eastAsia" w:hAnsi="宋体" w:cs="宋体"/>
              </w:rPr>
              <w:t>Lp</w:t>
            </w:r>
            <w:r>
              <w:rPr>
                <w:rFonts w:hint="eastAsia" w:hAnsi="宋体" w:cs="宋体"/>
                <w:vertAlign w:val="subscript"/>
              </w:rPr>
              <w:t>1</w:t>
            </w:r>
            <w:r>
              <w:rPr>
                <w:rFonts w:hint="eastAsia" w:hAnsi="宋体" w:cs="宋体"/>
              </w:rPr>
              <w:t>—靠近开口处</w:t>
            </w:r>
            <w:r>
              <w:rPr>
                <w:rFonts w:hint="eastAsia"/>
              </w:rPr>
              <w:t>（或窗户）</w:t>
            </w:r>
            <w:r>
              <w:rPr>
                <w:rFonts w:hint="eastAsia" w:hAnsi="宋体" w:cs="宋体"/>
              </w:rPr>
              <w:t>室内某倍频带的声压级或A声级，dB；</w:t>
            </w:r>
          </w:p>
          <w:p w14:paraId="38A4B9A1">
            <w:pPr>
              <w:adjustRightInd w:val="0"/>
              <w:snapToGrid w:val="0"/>
              <w:ind w:firstLine="480"/>
              <w:rPr>
                <w:rFonts w:hAnsi="宋体" w:cs="宋体"/>
              </w:rPr>
            </w:pPr>
            <w:r>
              <w:rPr>
                <w:rFonts w:hint="eastAsia" w:hAnsi="宋体" w:cs="宋体"/>
              </w:rPr>
              <w:t>Lw—点声源声功率级（A计权或倍频带），dB；</w:t>
            </w:r>
          </w:p>
          <w:p w14:paraId="4CDD65A9">
            <w:pPr>
              <w:adjustRightInd w:val="0"/>
              <w:snapToGrid w:val="0"/>
              <w:ind w:firstLine="480"/>
              <w:rPr>
                <w:rFonts w:hAnsi="宋体" w:cs="宋体"/>
              </w:rPr>
            </w:pPr>
            <w:r>
              <w:rPr>
                <w:rFonts w:hint="eastAsia" w:hAnsi="宋体" w:cs="宋体"/>
              </w:rPr>
              <w:t>Q—指向性因数；通常对无指向性声源，当声源放在房间中心时，Q=1；当放在一面墙的中心时，Q=2；当放在两面墙夹角处时，Q=4；当放在三面墙夹角处时，Q=8；</w:t>
            </w:r>
          </w:p>
          <w:p w14:paraId="108CA420">
            <w:pPr>
              <w:adjustRightInd w:val="0"/>
              <w:snapToGrid w:val="0"/>
              <w:ind w:firstLine="480"/>
              <w:rPr>
                <w:rFonts w:hAnsi="宋体" w:cs="宋体"/>
              </w:rPr>
            </w:pPr>
            <w:r>
              <w:rPr>
                <w:rFonts w:hint="eastAsia" w:hAnsi="宋体" w:cs="宋体"/>
              </w:rPr>
              <w:t>R—房间常数；R=Sa/（1-a），s为房间内表面面积，m</w:t>
            </w:r>
            <w:r>
              <w:rPr>
                <w:rFonts w:hint="eastAsia" w:hAnsi="宋体" w:cs="宋体"/>
                <w:vertAlign w:val="superscript"/>
              </w:rPr>
              <w:t>2</w:t>
            </w:r>
            <w:r>
              <w:rPr>
                <w:rFonts w:hint="eastAsia" w:hAnsi="宋体" w:cs="宋体"/>
              </w:rPr>
              <w:t>；a为平均吸声系数；</w:t>
            </w:r>
          </w:p>
          <w:p w14:paraId="7AB274FE">
            <w:pPr>
              <w:adjustRightInd w:val="0"/>
              <w:snapToGrid w:val="0"/>
              <w:ind w:firstLine="480"/>
            </w:pPr>
            <w:r>
              <w:rPr>
                <w:rFonts w:hint="eastAsia"/>
              </w:rPr>
              <w:t>r</w:t>
            </w:r>
            <w:r>
              <w:rPr>
                <w:rFonts w:hint="eastAsia" w:hAnsi="宋体" w:cs="宋体"/>
              </w:rPr>
              <w:t>—</w:t>
            </w:r>
            <w:r>
              <w:rPr>
                <w:rFonts w:hint="eastAsia"/>
              </w:rPr>
              <w:t>声源到靠近围护结构某点处的距离，m。</w:t>
            </w:r>
          </w:p>
          <w:p w14:paraId="4C33743A">
            <w:pPr>
              <w:adjustRightInd w:val="0"/>
              <w:snapToGrid w:val="0"/>
              <w:ind w:firstLine="480"/>
            </w:pPr>
            <w:r>
              <w:rPr>
                <w:rFonts w:hint="eastAsia"/>
              </w:rPr>
              <w:t>③按下式</w:t>
            </w:r>
            <w:r>
              <w:t>计算出所有室内声源在靠近围护结构处产生的</w:t>
            </w:r>
            <w:r>
              <w:rPr>
                <w:rFonts w:hint="eastAsia"/>
              </w:rPr>
              <w:t>i</w:t>
            </w:r>
            <w:r>
              <w:t>倍频带</w:t>
            </w:r>
            <w:r>
              <w:rPr>
                <w:rFonts w:hint="eastAsia"/>
              </w:rPr>
              <w:t>叠加</w:t>
            </w:r>
            <w:r>
              <w:t>声压级：</w:t>
            </w:r>
          </w:p>
          <w:p w14:paraId="30E6B0FA">
            <w:pPr>
              <w:adjustRightInd w:val="0"/>
              <w:snapToGrid w:val="0"/>
              <w:ind w:firstLine="0" w:firstLineChars="0"/>
              <w:jc w:val="center"/>
            </w:pPr>
            <w:r>
              <w:drawing>
                <wp:inline distT="0" distB="0" distL="0" distR="0">
                  <wp:extent cx="1685290" cy="484505"/>
                  <wp:effectExtent l="0" t="0" r="0" b="0"/>
                  <wp:docPr id="20"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685290" cy="484505"/>
                          </a:xfrm>
                          <a:prstGeom prst="rect">
                            <a:avLst/>
                          </a:prstGeom>
                          <a:noFill/>
                          <a:ln>
                            <a:noFill/>
                          </a:ln>
                        </pic:spPr>
                      </pic:pic>
                    </a:graphicData>
                  </a:graphic>
                </wp:inline>
              </w:drawing>
            </w:r>
          </w:p>
          <w:p w14:paraId="25B05C4C">
            <w:pPr>
              <w:adjustRightInd w:val="0"/>
              <w:snapToGrid w:val="0"/>
              <w:ind w:firstLine="480"/>
            </w:pPr>
            <w:r>
              <w:rPr>
                <w:rFonts w:hint="eastAsia"/>
              </w:rPr>
              <w:t>式中：</w:t>
            </w:r>
          </w:p>
          <w:p w14:paraId="776BB365">
            <w:pPr>
              <w:adjustRightInd w:val="0"/>
              <w:snapToGrid w:val="0"/>
              <w:ind w:firstLine="480"/>
            </w:pPr>
            <w:r>
              <w:rPr>
                <w:rFonts w:hint="eastAsia"/>
              </w:rPr>
              <w:t>L</w:t>
            </w:r>
            <w:r>
              <w:rPr>
                <w:rFonts w:hint="eastAsia"/>
                <w:vertAlign w:val="subscript"/>
              </w:rPr>
              <w:t>p1i</w:t>
            </w:r>
            <w:r>
              <w:rPr>
                <w:rFonts w:hint="eastAsia"/>
              </w:rPr>
              <w:t>（T）</w:t>
            </w:r>
            <w:r>
              <w:rPr>
                <w:rFonts w:hint="eastAsia" w:hAnsi="宋体" w:cs="宋体"/>
              </w:rPr>
              <w:t>—</w:t>
            </w:r>
            <w:r>
              <w:rPr>
                <w:rFonts w:hint="eastAsia"/>
              </w:rPr>
              <w:t>靠近围护结构处室内N个声源i倍频带的叠加声压级，dB；</w:t>
            </w:r>
          </w:p>
          <w:p w14:paraId="497EEED0">
            <w:pPr>
              <w:adjustRightInd w:val="0"/>
              <w:snapToGrid w:val="0"/>
              <w:ind w:firstLine="480"/>
            </w:pPr>
            <w:r>
              <w:rPr>
                <w:rFonts w:hint="eastAsia"/>
              </w:rPr>
              <w:t>L</w:t>
            </w:r>
            <w:r>
              <w:rPr>
                <w:rFonts w:hint="eastAsia"/>
                <w:vertAlign w:val="subscript"/>
              </w:rPr>
              <w:t>p1ij</w:t>
            </w:r>
            <w:r>
              <w:rPr>
                <w:rFonts w:hint="eastAsia" w:hAnsi="宋体" w:cs="宋体"/>
              </w:rPr>
              <w:t>—</w:t>
            </w:r>
            <w:r>
              <w:rPr>
                <w:rFonts w:hint="eastAsia"/>
              </w:rPr>
              <w:t>室内j声源i倍频带的声压级，dB；</w:t>
            </w:r>
          </w:p>
          <w:p w14:paraId="239AD4D0">
            <w:pPr>
              <w:adjustRightInd w:val="0"/>
              <w:snapToGrid w:val="0"/>
              <w:ind w:firstLine="480"/>
            </w:pPr>
            <w:r>
              <w:rPr>
                <w:rFonts w:hint="eastAsia"/>
              </w:rPr>
              <w:t>N</w:t>
            </w:r>
            <w:r>
              <w:rPr>
                <w:rFonts w:hint="eastAsia" w:hAnsi="宋体" w:cs="宋体"/>
              </w:rPr>
              <w:t>—</w:t>
            </w:r>
            <w:r>
              <w:rPr>
                <w:rFonts w:hint="eastAsia"/>
              </w:rPr>
              <w:t>室内声源总数。</w:t>
            </w:r>
          </w:p>
          <w:p w14:paraId="250CE5F2">
            <w:pPr>
              <w:adjustRightInd w:val="0"/>
              <w:snapToGrid w:val="0"/>
              <w:ind w:firstLine="480"/>
            </w:pPr>
            <w:r>
              <w:rPr>
                <w:rFonts w:hint="eastAsia"/>
              </w:rPr>
              <w:t>④</w:t>
            </w:r>
            <w:r>
              <w:t>在室内近似为扩散声场时，按</w:t>
            </w:r>
            <w:r>
              <w:rPr>
                <w:rFonts w:hint="eastAsia"/>
              </w:rPr>
              <w:t>下</w:t>
            </w:r>
            <w:r>
              <w:t>式</w:t>
            </w:r>
            <w:r>
              <w:rPr>
                <w:rFonts w:hint="eastAsia"/>
              </w:rPr>
              <w:t>计算出室外靠近围护结构处的声压级：</w:t>
            </w:r>
          </w:p>
          <w:p w14:paraId="58D4FC56">
            <w:pPr>
              <w:adjustRightInd w:val="0"/>
              <w:snapToGrid w:val="0"/>
              <w:ind w:firstLine="0" w:firstLineChars="0"/>
              <w:jc w:val="center"/>
            </w:pPr>
            <w:r>
              <w:drawing>
                <wp:inline distT="0" distB="0" distL="0" distR="0">
                  <wp:extent cx="1774190" cy="238760"/>
                  <wp:effectExtent l="0" t="0" r="0" b="8890"/>
                  <wp:docPr id="21"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1774190" cy="238760"/>
                          </a:xfrm>
                          <a:prstGeom prst="rect">
                            <a:avLst/>
                          </a:prstGeom>
                          <a:noFill/>
                          <a:ln>
                            <a:noFill/>
                          </a:ln>
                        </pic:spPr>
                      </pic:pic>
                    </a:graphicData>
                  </a:graphic>
                </wp:inline>
              </w:drawing>
            </w:r>
          </w:p>
          <w:p w14:paraId="41C2428E">
            <w:pPr>
              <w:adjustRightInd w:val="0"/>
              <w:snapToGrid w:val="0"/>
              <w:ind w:firstLine="480"/>
            </w:pPr>
            <w:r>
              <w:rPr>
                <w:rFonts w:hint="eastAsia"/>
              </w:rPr>
              <w:t>式中：</w:t>
            </w:r>
          </w:p>
          <w:p w14:paraId="382CD9B1">
            <w:pPr>
              <w:adjustRightInd w:val="0"/>
              <w:snapToGrid w:val="0"/>
              <w:ind w:firstLine="480"/>
            </w:pPr>
            <w:r>
              <w:rPr>
                <w:rFonts w:hint="eastAsia"/>
              </w:rPr>
              <w:t>L</w:t>
            </w:r>
            <w:r>
              <w:rPr>
                <w:rFonts w:hint="eastAsia"/>
                <w:vertAlign w:val="subscript"/>
              </w:rPr>
              <w:t>p2i</w:t>
            </w:r>
            <w:r>
              <w:rPr>
                <w:rFonts w:hint="eastAsia"/>
              </w:rPr>
              <w:t>（T）</w:t>
            </w:r>
            <w:r>
              <w:rPr>
                <w:rFonts w:hint="eastAsia" w:hAnsi="宋体" w:cs="宋体"/>
              </w:rPr>
              <w:t>—</w:t>
            </w:r>
            <w:r>
              <w:rPr>
                <w:rFonts w:hint="eastAsia"/>
              </w:rPr>
              <w:t>靠近围护结构处室外N个声源i倍频带的叠加声压级，dB；</w:t>
            </w:r>
          </w:p>
          <w:p w14:paraId="17E8A0D5">
            <w:pPr>
              <w:adjustRightInd w:val="0"/>
              <w:snapToGrid w:val="0"/>
              <w:ind w:firstLine="480"/>
            </w:pPr>
            <w:r>
              <w:rPr>
                <w:rFonts w:hint="eastAsia"/>
              </w:rPr>
              <w:t>L</w:t>
            </w:r>
            <w:r>
              <w:rPr>
                <w:rFonts w:hint="eastAsia"/>
                <w:vertAlign w:val="subscript"/>
              </w:rPr>
              <w:t>p1i</w:t>
            </w:r>
            <w:r>
              <w:rPr>
                <w:rFonts w:hint="eastAsia"/>
              </w:rPr>
              <w:t>（T）</w:t>
            </w:r>
            <w:r>
              <w:rPr>
                <w:rFonts w:hint="eastAsia" w:hAnsi="宋体" w:cs="宋体"/>
              </w:rPr>
              <w:t>—</w:t>
            </w:r>
            <w:r>
              <w:rPr>
                <w:rFonts w:hint="eastAsia"/>
              </w:rPr>
              <w:t>靠近围护结构处室内N个声源i倍频带的叠加声压级，dB；</w:t>
            </w:r>
          </w:p>
          <w:p w14:paraId="2562D641">
            <w:pPr>
              <w:adjustRightInd w:val="0"/>
              <w:snapToGrid w:val="0"/>
              <w:ind w:firstLine="480"/>
            </w:pPr>
            <w:r>
              <w:rPr>
                <w:rFonts w:hint="eastAsia"/>
              </w:rPr>
              <w:t>TL</w:t>
            </w:r>
            <w:r>
              <w:rPr>
                <w:rFonts w:hint="eastAsia"/>
                <w:vertAlign w:val="subscript"/>
              </w:rPr>
              <w:t>i</w:t>
            </w:r>
            <w:r>
              <w:rPr>
                <w:rFonts w:hint="eastAsia" w:hAnsi="宋体" w:cs="宋体"/>
              </w:rPr>
              <w:t>—</w:t>
            </w:r>
            <w:r>
              <w:rPr>
                <w:rFonts w:hint="eastAsia"/>
              </w:rPr>
              <w:t>围护结构i倍频带的隔声量，dB。</w:t>
            </w:r>
          </w:p>
          <w:p w14:paraId="5F6989AB">
            <w:pPr>
              <w:adjustRightInd w:val="0"/>
              <w:snapToGrid w:val="0"/>
              <w:ind w:firstLine="480"/>
            </w:pPr>
            <w:r>
              <w:rPr>
                <w:rFonts w:hint="eastAsia" w:hAnsi="宋体" w:cs="宋体"/>
              </w:rPr>
              <w:t>⑤按下式</w:t>
            </w:r>
            <w:r>
              <w:t>将室外</w:t>
            </w:r>
            <w:r>
              <w:rPr>
                <w:rFonts w:hint="eastAsia"/>
              </w:rPr>
              <w:t>声源的声压级</w:t>
            </w:r>
            <w:r>
              <w:t>和透声面积换算成等效的室外声源，计算出</w:t>
            </w:r>
            <w:r>
              <w:rPr>
                <w:rFonts w:hint="eastAsia"/>
              </w:rPr>
              <w:t>中心位置位于透声面积（S）处的</w:t>
            </w:r>
            <w:r>
              <w:t>等效声源</w:t>
            </w:r>
            <w:r>
              <w:rPr>
                <w:rFonts w:hint="eastAsia"/>
              </w:rPr>
              <w:t>的</w:t>
            </w:r>
            <w:r>
              <w:t>倍频带的声功率级</w:t>
            </w:r>
            <w:r>
              <w:softHyphen/>
            </w:r>
            <w:r>
              <w:softHyphen/>
            </w:r>
            <w:r>
              <w:t>：</w:t>
            </w:r>
          </w:p>
          <w:p w14:paraId="364AD592">
            <w:pPr>
              <w:adjustRightInd w:val="0"/>
              <w:snapToGrid w:val="0"/>
              <w:ind w:firstLine="0" w:firstLineChars="0"/>
              <w:jc w:val="center"/>
            </w:pPr>
            <w:r>
              <w:drawing>
                <wp:inline distT="0" distB="0" distL="0" distR="0">
                  <wp:extent cx="1330960" cy="238760"/>
                  <wp:effectExtent l="0" t="0" r="2540" b="8890"/>
                  <wp:docPr id="22"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330960" cy="238760"/>
                          </a:xfrm>
                          <a:prstGeom prst="rect">
                            <a:avLst/>
                          </a:prstGeom>
                          <a:noFill/>
                          <a:ln>
                            <a:noFill/>
                          </a:ln>
                        </pic:spPr>
                      </pic:pic>
                    </a:graphicData>
                  </a:graphic>
                </wp:inline>
              </w:drawing>
            </w:r>
          </w:p>
          <w:p w14:paraId="74C0FB4D">
            <w:pPr>
              <w:adjustRightInd w:val="0"/>
              <w:snapToGrid w:val="0"/>
              <w:ind w:firstLine="480"/>
            </w:pPr>
            <w:r>
              <w:rPr>
                <w:rFonts w:hint="eastAsia"/>
              </w:rPr>
              <w:t>式中：</w:t>
            </w:r>
          </w:p>
          <w:p w14:paraId="0247783F">
            <w:pPr>
              <w:adjustRightInd w:val="0"/>
              <w:snapToGrid w:val="0"/>
              <w:ind w:firstLine="480"/>
            </w:pPr>
            <w:r>
              <w:rPr>
                <w:rFonts w:hint="eastAsia"/>
              </w:rPr>
              <w:t>Lw—中心位置位于透声面积（S）处的等效声源的倍频带声功率级，dB；</w:t>
            </w:r>
          </w:p>
          <w:p w14:paraId="712D2557">
            <w:pPr>
              <w:adjustRightInd w:val="0"/>
              <w:snapToGrid w:val="0"/>
              <w:ind w:firstLine="480"/>
            </w:pPr>
            <w:r>
              <w:rPr>
                <w:rFonts w:hint="eastAsia"/>
              </w:rPr>
              <w:t>Lp</w:t>
            </w:r>
            <w:r>
              <w:rPr>
                <w:rFonts w:hint="eastAsia"/>
                <w:vertAlign w:val="subscript"/>
              </w:rPr>
              <w:t>2</w:t>
            </w:r>
            <w:r>
              <w:rPr>
                <w:rFonts w:hint="eastAsia"/>
              </w:rPr>
              <w:t>（T）—靠近围护结构处室外声源的声压级，dB；</w:t>
            </w:r>
          </w:p>
          <w:p w14:paraId="6E43219B">
            <w:pPr>
              <w:adjustRightInd w:val="0"/>
              <w:snapToGrid w:val="0"/>
              <w:ind w:firstLine="480"/>
            </w:pPr>
            <w:r>
              <w:rPr>
                <w:rFonts w:hint="eastAsia"/>
              </w:rPr>
              <w:t>S—透声面积，m</w:t>
            </w:r>
            <w:r>
              <w:rPr>
                <w:rFonts w:hint="eastAsia"/>
                <w:vertAlign w:val="superscript"/>
              </w:rPr>
              <w:t>2</w:t>
            </w:r>
            <w:r>
              <w:rPr>
                <w:rFonts w:hint="eastAsia"/>
              </w:rPr>
              <w:t>。</w:t>
            </w:r>
          </w:p>
          <w:p w14:paraId="236970B5">
            <w:pPr>
              <w:ind w:firstLine="482"/>
              <w:rPr>
                <w:b/>
                <w:bCs/>
              </w:rPr>
            </w:pPr>
            <w:r>
              <w:rPr>
                <w:rFonts w:hint="eastAsia"/>
                <w:b/>
                <w:bCs/>
              </w:rPr>
              <w:t>（2）</w:t>
            </w:r>
            <w:r>
              <w:rPr>
                <w:b/>
                <w:bCs/>
              </w:rPr>
              <w:t>户外声传播的衰减</w:t>
            </w:r>
          </w:p>
          <w:p w14:paraId="6BCEFDF9">
            <w:pPr>
              <w:ind w:firstLine="480"/>
            </w:pPr>
            <w:r>
              <w:t>户外声传播衰减包括几何发散</w:t>
            </w:r>
            <w:r>
              <w:rPr>
                <w:rFonts w:hint="eastAsia"/>
              </w:rPr>
              <w:t>（</w:t>
            </w:r>
            <w:r>
              <w:t>A</w:t>
            </w:r>
            <w:r>
              <w:rPr>
                <w:vertAlign w:val="subscript"/>
              </w:rPr>
              <w:t>div</w:t>
            </w:r>
            <w:r>
              <w:rPr>
                <w:rFonts w:hint="eastAsia"/>
              </w:rPr>
              <w:t>）</w:t>
            </w:r>
            <w:r>
              <w:t>、大气吸收</w:t>
            </w:r>
            <w:r>
              <w:rPr>
                <w:rFonts w:hint="eastAsia"/>
              </w:rPr>
              <w:t>（</w:t>
            </w:r>
            <w:r>
              <w:t>A</w:t>
            </w:r>
            <w:r>
              <w:rPr>
                <w:vertAlign w:val="subscript"/>
              </w:rPr>
              <w:t>atm</w:t>
            </w:r>
            <w:r>
              <w:rPr>
                <w:rFonts w:hint="eastAsia"/>
              </w:rPr>
              <w:t>）</w:t>
            </w:r>
            <w:r>
              <w:t>、地面效应</w:t>
            </w:r>
            <w:r>
              <w:rPr>
                <w:rFonts w:hint="eastAsia"/>
              </w:rPr>
              <w:t>（</w:t>
            </w:r>
            <w:r>
              <w:t>A</w:t>
            </w:r>
            <w:r>
              <w:rPr>
                <w:vertAlign w:val="subscript"/>
              </w:rPr>
              <w:t>gr</w:t>
            </w:r>
            <w:r>
              <w:rPr>
                <w:rFonts w:hint="eastAsia"/>
              </w:rPr>
              <w:t>）</w:t>
            </w:r>
            <w:r>
              <w:t>、障碍物屏蔽</w:t>
            </w:r>
            <w:r>
              <w:rPr>
                <w:rFonts w:hint="eastAsia"/>
              </w:rPr>
              <w:t>（</w:t>
            </w:r>
            <w:r>
              <w:t>A</w:t>
            </w:r>
            <w:r>
              <w:rPr>
                <w:vertAlign w:val="subscript"/>
              </w:rPr>
              <w:t>bar</w:t>
            </w:r>
            <w:r>
              <w:rPr>
                <w:rFonts w:hint="eastAsia"/>
              </w:rPr>
              <w:t>）</w:t>
            </w:r>
            <w:r>
              <w:t>、其他多方面效应</w:t>
            </w:r>
            <w:r>
              <w:rPr>
                <w:rFonts w:hint="eastAsia"/>
              </w:rPr>
              <w:t>（</w:t>
            </w:r>
            <w:r>
              <w:t>A</w:t>
            </w:r>
            <w:r>
              <w:rPr>
                <w:vertAlign w:val="subscript"/>
              </w:rPr>
              <w:t>misc</w:t>
            </w:r>
            <w:r>
              <w:rPr>
                <w:rFonts w:hint="eastAsia"/>
              </w:rPr>
              <w:t>）</w:t>
            </w:r>
            <w:r>
              <w:t>引起的衰减。</w:t>
            </w:r>
          </w:p>
          <w:p w14:paraId="02417414">
            <w:pPr>
              <w:ind w:firstLine="480"/>
            </w:pPr>
            <w:r>
              <w:t>①</w:t>
            </w:r>
            <w:r>
              <w:rPr>
                <w:rFonts w:hint="eastAsia"/>
              </w:rPr>
              <w:t>基本公式</w:t>
            </w:r>
          </w:p>
          <w:p w14:paraId="7292E7E5">
            <w:pPr>
              <w:ind w:firstLine="480"/>
            </w:pPr>
            <w:r>
              <w:rPr>
                <w:rFonts w:hint="eastAsia"/>
              </w:rPr>
              <w:t>某个声源在预测点处声压级的计算公式如下：</w:t>
            </w:r>
          </w:p>
          <w:p w14:paraId="75CCC419">
            <w:pPr>
              <w:adjustRightInd w:val="0"/>
              <w:snapToGrid w:val="0"/>
              <w:ind w:firstLine="0" w:firstLineChars="0"/>
              <w:jc w:val="center"/>
            </w:pPr>
            <w:r>
              <w:rPr>
                <w:rFonts w:eastAsia="Times New Roman"/>
                <w:i/>
              </w:rPr>
              <w:t>Lp</w:t>
            </w:r>
            <w:r>
              <w:rPr>
                <w:rFonts w:hint="eastAsia"/>
              </w:rPr>
              <w:t>（</w:t>
            </w:r>
            <w:r>
              <w:rPr>
                <w:rFonts w:eastAsia="Times New Roman"/>
                <w:i/>
              </w:rPr>
              <w:t>r</w:t>
            </w:r>
            <w:r>
              <w:rPr>
                <w:rFonts w:hint="eastAsia"/>
              </w:rPr>
              <w:t>）</w:t>
            </w:r>
            <w:r>
              <w:rPr>
                <w:rFonts w:ascii="宋体" w:hAnsi="宋体"/>
              </w:rPr>
              <w:t>＝</w:t>
            </w:r>
            <w:r>
              <w:rPr>
                <w:rFonts w:eastAsia="Times New Roman"/>
                <w:i/>
              </w:rPr>
              <w:t>Lw</w:t>
            </w:r>
            <w:r>
              <w:rPr>
                <w:rFonts w:eastAsia="Times New Roman"/>
              </w:rPr>
              <w:t>+</w:t>
            </w:r>
            <w:r>
              <w:rPr>
                <w:rFonts w:eastAsia="Times New Roman"/>
                <w:i/>
              </w:rPr>
              <w:t>D</w:t>
            </w:r>
            <w:r>
              <w:rPr>
                <w:rFonts w:eastAsia="Times New Roman"/>
                <w:vertAlign w:val="subscript"/>
              </w:rPr>
              <w:t>C</w:t>
            </w:r>
            <w:r>
              <w:rPr>
                <w:rFonts w:ascii="宋体" w:hAnsi="宋体"/>
              </w:rPr>
              <w:t>－</w:t>
            </w:r>
            <w:r>
              <w:rPr>
                <w:rFonts w:hint="eastAsia"/>
              </w:rPr>
              <w:t>（</w:t>
            </w:r>
            <w:r>
              <w:rPr>
                <w:rFonts w:eastAsia="Times New Roman"/>
                <w:i/>
              </w:rPr>
              <w:t>A</w:t>
            </w:r>
            <w:r>
              <w:rPr>
                <w:rFonts w:eastAsia="Times New Roman"/>
                <w:vertAlign w:val="subscript"/>
              </w:rPr>
              <w:t>div</w:t>
            </w:r>
            <w:r>
              <w:rPr>
                <w:rFonts w:ascii="宋体" w:hAnsi="宋体"/>
              </w:rPr>
              <w:t>＋</w:t>
            </w:r>
            <w:r>
              <w:rPr>
                <w:rFonts w:eastAsia="Times New Roman"/>
                <w:i/>
              </w:rPr>
              <w:t>A</w:t>
            </w:r>
            <w:r>
              <w:rPr>
                <w:rFonts w:eastAsia="Times New Roman"/>
                <w:vertAlign w:val="subscript"/>
              </w:rPr>
              <w:t>atm</w:t>
            </w:r>
            <w:r>
              <w:rPr>
                <w:rFonts w:ascii="宋体" w:hAnsi="宋体"/>
              </w:rPr>
              <w:t>＋</w:t>
            </w:r>
            <w:r>
              <w:rPr>
                <w:rFonts w:eastAsia="Times New Roman"/>
                <w:i/>
              </w:rPr>
              <w:t>A</w:t>
            </w:r>
            <w:r>
              <w:rPr>
                <w:rFonts w:eastAsia="Times New Roman"/>
                <w:vertAlign w:val="subscript"/>
              </w:rPr>
              <w:t>gr</w:t>
            </w:r>
            <w:r>
              <w:rPr>
                <w:rFonts w:ascii="宋体" w:hAnsi="宋体"/>
              </w:rPr>
              <w:t>＋</w:t>
            </w:r>
            <w:r>
              <w:rPr>
                <w:rFonts w:eastAsia="Times New Roman"/>
                <w:i/>
              </w:rPr>
              <w:t>A</w:t>
            </w:r>
            <w:r>
              <w:rPr>
                <w:rFonts w:eastAsia="Times New Roman"/>
                <w:vertAlign w:val="subscript"/>
              </w:rPr>
              <w:t>bar</w:t>
            </w:r>
            <w:r>
              <w:rPr>
                <w:rFonts w:ascii="宋体" w:hAnsi="宋体"/>
              </w:rPr>
              <w:t>＋</w:t>
            </w:r>
            <w:r>
              <w:rPr>
                <w:rFonts w:eastAsia="Times New Roman"/>
                <w:i/>
              </w:rPr>
              <w:t>A</w:t>
            </w:r>
            <w:r>
              <w:rPr>
                <w:rFonts w:eastAsia="Times New Roman"/>
                <w:vertAlign w:val="subscript"/>
              </w:rPr>
              <w:t>misc</w:t>
            </w:r>
            <w:r>
              <w:rPr>
                <w:rFonts w:hint="eastAsia"/>
              </w:rPr>
              <w:t>）</w:t>
            </w:r>
          </w:p>
          <w:p w14:paraId="4C085980">
            <w:pPr>
              <w:adjustRightInd w:val="0"/>
              <w:snapToGrid w:val="0"/>
              <w:ind w:firstLine="0" w:firstLineChars="0"/>
              <w:jc w:val="center"/>
            </w:pPr>
            <w:r>
              <w:rPr>
                <w:rFonts w:eastAsia="Times New Roman"/>
                <w:i/>
              </w:rPr>
              <w:t>Lp</w:t>
            </w:r>
            <w:r>
              <w:rPr>
                <w:rFonts w:hint="eastAsia"/>
              </w:rPr>
              <w:t>（</w:t>
            </w:r>
            <w:r>
              <w:rPr>
                <w:rFonts w:eastAsia="Times New Roman"/>
                <w:i/>
              </w:rPr>
              <w:t>r</w:t>
            </w:r>
            <w:r>
              <w:rPr>
                <w:rFonts w:hint="eastAsia"/>
              </w:rPr>
              <w:t>）</w:t>
            </w:r>
            <w:r>
              <w:rPr>
                <w:rFonts w:ascii="宋体" w:hAnsi="宋体"/>
              </w:rPr>
              <w:t>＝</w:t>
            </w:r>
            <w:r>
              <w:rPr>
                <w:rFonts w:eastAsia="Times New Roman"/>
                <w:i/>
              </w:rPr>
              <w:t>Lp</w:t>
            </w:r>
            <w:r>
              <w:rPr>
                <w:rFonts w:hint="eastAsia"/>
              </w:rPr>
              <w:t>（</w:t>
            </w:r>
            <w:r>
              <w:rPr>
                <w:rFonts w:eastAsia="Times New Roman"/>
                <w:i/>
              </w:rPr>
              <w:t>r</w:t>
            </w:r>
            <w:r>
              <w:rPr>
                <w:rFonts w:eastAsia="Times New Roman"/>
                <w:vertAlign w:val="subscript"/>
              </w:rPr>
              <w:t>0</w:t>
            </w:r>
            <w:r>
              <w:rPr>
                <w:rFonts w:hint="eastAsia"/>
              </w:rPr>
              <w:t>）</w:t>
            </w:r>
            <w:r>
              <w:rPr>
                <w:rFonts w:eastAsia="Times New Roman"/>
              </w:rPr>
              <w:t>+</w:t>
            </w:r>
            <w:r>
              <w:rPr>
                <w:rFonts w:eastAsia="Times New Roman"/>
                <w:i/>
              </w:rPr>
              <w:t>D</w:t>
            </w:r>
            <w:r>
              <w:rPr>
                <w:rFonts w:eastAsia="Times New Roman"/>
                <w:vertAlign w:val="subscript"/>
              </w:rPr>
              <w:t>C</w:t>
            </w:r>
            <w:r>
              <w:rPr>
                <w:rFonts w:ascii="宋体" w:hAnsi="宋体"/>
              </w:rPr>
              <w:t>－</w:t>
            </w:r>
            <w:r>
              <w:rPr>
                <w:rFonts w:hint="eastAsia"/>
              </w:rPr>
              <w:t>（</w:t>
            </w:r>
            <w:r>
              <w:rPr>
                <w:rFonts w:eastAsia="Times New Roman"/>
                <w:i/>
              </w:rPr>
              <w:t>A</w:t>
            </w:r>
            <w:r>
              <w:rPr>
                <w:rFonts w:eastAsia="Times New Roman"/>
                <w:vertAlign w:val="subscript"/>
              </w:rPr>
              <w:t>div</w:t>
            </w:r>
            <w:r>
              <w:rPr>
                <w:rFonts w:ascii="宋体" w:hAnsi="宋体"/>
              </w:rPr>
              <w:t>＋</w:t>
            </w:r>
            <w:r>
              <w:rPr>
                <w:rFonts w:eastAsia="Times New Roman"/>
                <w:i/>
              </w:rPr>
              <w:t>A</w:t>
            </w:r>
            <w:r>
              <w:rPr>
                <w:rFonts w:eastAsia="Times New Roman"/>
                <w:vertAlign w:val="subscript"/>
              </w:rPr>
              <w:t>atm</w:t>
            </w:r>
            <w:r>
              <w:rPr>
                <w:rFonts w:ascii="宋体" w:hAnsi="宋体"/>
              </w:rPr>
              <w:t>＋</w:t>
            </w:r>
            <w:r>
              <w:rPr>
                <w:rFonts w:eastAsia="Times New Roman"/>
                <w:i/>
              </w:rPr>
              <w:t>A</w:t>
            </w:r>
            <w:r>
              <w:rPr>
                <w:rFonts w:eastAsia="Times New Roman"/>
                <w:vertAlign w:val="subscript"/>
              </w:rPr>
              <w:t>gr</w:t>
            </w:r>
            <w:r>
              <w:rPr>
                <w:rFonts w:ascii="宋体" w:hAnsi="宋体"/>
              </w:rPr>
              <w:t>＋</w:t>
            </w:r>
            <w:r>
              <w:rPr>
                <w:rFonts w:eastAsia="Times New Roman"/>
                <w:i/>
              </w:rPr>
              <w:t>A</w:t>
            </w:r>
            <w:r>
              <w:rPr>
                <w:rFonts w:eastAsia="Times New Roman"/>
                <w:vertAlign w:val="subscript"/>
              </w:rPr>
              <w:t>bar</w:t>
            </w:r>
            <w:r>
              <w:rPr>
                <w:rFonts w:ascii="宋体" w:hAnsi="宋体"/>
              </w:rPr>
              <w:t>＋</w:t>
            </w:r>
            <w:r>
              <w:rPr>
                <w:rFonts w:eastAsia="Times New Roman"/>
                <w:i/>
              </w:rPr>
              <w:t>A</w:t>
            </w:r>
            <w:r>
              <w:rPr>
                <w:rFonts w:eastAsia="Times New Roman"/>
                <w:vertAlign w:val="subscript"/>
              </w:rPr>
              <w:t>misc</w:t>
            </w:r>
            <w:r>
              <w:rPr>
                <w:rFonts w:hint="eastAsia"/>
              </w:rPr>
              <w:t>）</w:t>
            </w:r>
          </w:p>
          <w:p w14:paraId="56554114">
            <w:pPr>
              <w:adjustRightInd w:val="0"/>
              <w:snapToGrid w:val="0"/>
              <w:ind w:firstLine="480"/>
            </w:pPr>
            <w:r>
              <w:rPr>
                <w:rFonts w:hint="eastAsia"/>
              </w:rPr>
              <w:t>式中：</w:t>
            </w:r>
          </w:p>
          <w:p w14:paraId="1E0A5EBE">
            <w:pPr>
              <w:adjustRightInd w:val="0"/>
              <w:snapToGrid w:val="0"/>
              <w:ind w:firstLine="480"/>
            </w:pPr>
            <w:r>
              <w:rPr>
                <w:rFonts w:hint="eastAsia"/>
              </w:rPr>
              <w:t xml:space="preserve">Lp（r）—预测点处声压级，dB； </w:t>
            </w:r>
          </w:p>
          <w:p w14:paraId="5B354A78">
            <w:pPr>
              <w:adjustRightInd w:val="0"/>
              <w:snapToGrid w:val="0"/>
              <w:ind w:firstLine="480"/>
            </w:pPr>
            <w:r>
              <w:rPr>
                <w:rFonts w:hint="eastAsia"/>
              </w:rPr>
              <w:t>L</w:t>
            </w:r>
            <w:r>
              <w:rPr>
                <w:rFonts w:hint="eastAsia"/>
              </w:rPr>
              <w:softHyphen/>
            </w:r>
            <w:r>
              <w:rPr>
                <w:rFonts w:hint="eastAsia"/>
              </w:rPr>
              <w:softHyphen/>
            </w:r>
            <w:r>
              <w:rPr>
                <w:rFonts w:hint="eastAsia"/>
              </w:rPr>
              <w:t>w—由点声源产生的声功率级（A计权或倍频带），dB；</w:t>
            </w:r>
          </w:p>
          <w:p w14:paraId="611779D7">
            <w:pPr>
              <w:adjustRightInd w:val="0"/>
              <w:snapToGrid w:val="0"/>
              <w:ind w:firstLine="480"/>
            </w:pPr>
            <w:r>
              <w:rPr>
                <w:rFonts w:hint="eastAsia"/>
              </w:rPr>
              <w:t>Lp（r</w:t>
            </w:r>
            <w:r>
              <w:rPr>
                <w:rFonts w:hint="eastAsia"/>
                <w:vertAlign w:val="subscript"/>
              </w:rPr>
              <w:t>0</w:t>
            </w:r>
            <w:r>
              <w:rPr>
                <w:rFonts w:hint="eastAsia"/>
              </w:rPr>
              <w:t>）—</w:t>
            </w:r>
            <w:r>
              <w:t>参考位置</w:t>
            </w:r>
            <w:r>
              <w:rPr>
                <w:rFonts w:hint="eastAsia"/>
              </w:rPr>
              <w:t>r</w:t>
            </w:r>
            <w:r>
              <w:rPr>
                <w:rFonts w:hint="eastAsia"/>
                <w:vertAlign w:val="subscript"/>
              </w:rPr>
              <w:t>0</w:t>
            </w:r>
            <w:r>
              <w:t>处的声压级，</w:t>
            </w:r>
            <w:r>
              <w:rPr>
                <w:rFonts w:hint="eastAsia"/>
              </w:rPr>
              <w:t>dB</w:t>
            </w:r>
            <w:r>
              <w:t>；</w:t>
            </w:r>
          </w:p>
          <w:p w14:paraId="71F8B331">
            <w:pPr>
              <w:adjustRightInd w:val="0"/>
              <w:snapToGrid w:val="0"/>
              <w:ind w:firstLine="480"/>
            </w:pPr>
            <w:r>
              <w:rPr>
                <w:rFonts w:hint="eastAsia"/>
              </w:rPr>
              <w:t xml:space="preserve">Dc—指向性校正，它描述点声源的等效连续声压级与产生声功率级Lw的全向点声源在规定方向的声级的偏差程度，dB； </w:t>
            </w:r>
          </w:p>
          <w:p w14:paraId="42BE2DED">
            <w:pPr>
              <w:adjustRightInd w:val="0"/>
              <w:snapToGrid w:val="0"/>
              <w:ind w:firstLine="480"/>
            </w:pPr>
            <w:r>
              <w:rPr>
                <w:rFonts w:hint="eastAsia"/>
              </w:rPr>
              <w:t>A</w:t>
            </w:r>
            <w:r>
              <w:rPr>
                <w:rFonts w:hint="eastAsia"/>
                <w:vertAlign w:val="subscript"/>
              </w:rPr>
              <w:t>div</w:t>
            </w:r>
            <w:r>
              <w:rPr>
                <w:rFonts w:hint="eastAsia"/>
              </w:rPr>
              <w:t xml:space="preserve">—几何发散引起的衰减，dB； </w:t>
            </w:r>
          </w:p>
          <w:p w14:paraId="0BCDB62A">
            <w:pPr>
              <w:adjustRightInd w:val="0"/>
              <w:snapToGrid w:val="0"/>
              <w:ind w:firstLine="480"/>
            </w:pPr>
            <w:r>
              <w:rPr>
                <w:rFonts w:hint="eastAsia"/>
              </w:rPr>
              <w:t>A</w:t>
            </w:r>
            <w:r>
              <w:rPr>
                <w:rFonts w:hint="eastAsia"/>
                <w:vertAlign w:val="subscript"/>
              </w:rPr>
              <w:t>atm</w:t>
            </w:r>
            <w:r>
              <w:rPr>
                <w:rFonts w:hint="eastAsia"/>
              </w:rPr>
              <w:t xml:space="preserve">—大气吸收引起的衰减，dB； </w:t>
            </w:r>
          </w:p>
          <w:p w14:paraId="6B885F3E">
            <w:pPr>
              <w:adjustRightInd w:val="0"/>
              <w:snapToGrid w:val="0"/>
              <w:ind w:firstLine="480"/>
            </w:pPr>
            <w:r>
              <w:rPr>
                <w:rFonts w:hint="eastAsia"/>
              </w:rPr>
              <w:t>A</w:t>
            </w:r>
            <w:r>
              <w:rPr>
                <w:rFonts w:hint="eastAsia"/>
                <w:vertAlign w:val="subscript"/>
              </w:rPr>
              <w:t>gr</w:t>
            </w:r>
            <w:r>
              <w:rPr>
                <w:rFonts w:hint="eastAsia"/>
              </w:rPr>
              <w:t>—地面效应引起的衰减，dB；</w:t>
            </w:r>
          </w:p>
          <w:p w14:paraId="7F51AC12">
            <w:pPr>
              <w:adjustRightInd w:val="0"/>
              <w:snapToGrid w:val="0"/>
              <w:ind w:firstLine="480"/>
            </w:pPr>
            <w:r>
              <w:rPr>
                <w:rFonts w:hint="eastAsia"/>
              </w:rPr>
              <w:t>A</w:t>
            </w:r>
            <w:r>
              <w:rPr>
                <w:rFonts w:hint="eastAsia"/>
                <w:vertAlign w:val="subscript"/>
              </w:rPr>
              <w:t>bar</w:t>
            </w:r>
            <w:r>
              <w:rPr>
                <w:rFonts w:hint="eastAsia"/>
              </w:rPr>
              <w:t>—障碍物屏蔽引起的衰减，dB；</w:t>
            </w:r>
          </w:p>
          <w:p w14:paraId="2FE4E792">
            <w:pPr>
              <w:adjustRightInd w:val="0"/>
              <w:snapToGrid w:val="0"/>
              <w:ind w:firstLine="480"/>
            </w:pPr>
            <w:r>
              <w:rPr>
                <w:rFonts w:hint="eastAsia"/>
              </w:rPr>
              <w:t>A</w:t>
            </w:r>
            <w:r>
              <w:rPr>
                <w:rFonts w:hint="eastAsia"/>
                <w:vertAlign w:val="subscript"/>
              </w:rPr>
              <w:t>misc</w:t>
            </w:r>
            <w:r>
              <w:rPr>
                <w:rFonts w:hint="eastAsia"/>
              </w:rPr>
              <w:t>—其他多方面效应引起的衰减，dB。</w:t>
            </w:r>
          </w:p>
          <w:p w14:paraId="243D62C9">
            <w:pPr>
              <w:ind w:firstLine="480"/>
            </w:pPr>
            <w:r>
              <w:t>②</w:t>
            </w:r>
            <w:r>
              <w:rPr>
                <w:rFonts w:ascii="宋体" w:hAnsi="宋体"/>
              </w:rPr>
              <w:t>预测点的</w:t>
            </w:r>
            <w:r>
              <w:rPr>
                <w:rFonts w:eastAsia="Times New Roman"/>
              </w:rPr>
              <w:t>A</w:t>
            </w:r>
            <w:r>
              <w:rPr>
                <w:rFonts w:ascii="宋体" w:hAnsi="宋体"/>
              </w:rPr>
              <w:t>声级</w:t>
            </w:r>
            <w:r>
              <w:rPr>
                <w:rFonts w:eastAsia="Times New Roman"/>
                <w:i/>
              </w:rPr>
              <w:t>L</w:t>
            </w:r>
            <w:r>
              <w:rPr>
                <w:rFonts w:eastAsia="Times New Roman"/>
                <w:vertAlign w:val="subscript"/>
              </w:rPr>
              <w:t>A</w:t>
            </w:r>
            <w:r>
              <w:rPr>
                <w:rFonts w:hint="eastAsia"/>
              </w:rPr>
              <w:t>（</w:t>
            </w:r>
            <w:r>
              <w:rPr>
                <w:rFonts w:eastAsia="Times New Roman"/>
                <w:i/>
              </w:rPr>
              <w:t>r</w:t>
            </w:r>
            <w:r>
              <w:rPr>
                <w:rFonts w:hint="eastAsia"/>
              </w:rPr>
              <w:t>）</w:t>
            </w:r>
            <w:r>
              <w:rPr>
                <w:rFonts w:ascii="宋体" w:hAnsi="宋体"/>
              </w:rPr>
              <w:t>可按</w:t>
            </w:r>
            <w:r>
              <w:rPr>
                <w:rFonts w:hint="eastAsia" w:ascii="宋体" w:hAnsi="宋体"/>
              </w:rPr>
              <w:t>下式</w:t>
            </w:r>
            <w:r>
              <w:rPr>
                <w:rFonts w:ascii="宋体" w:hAnsi="宋体"/>
              </w:rPr>
              <w:t>计算，即将</w:t>
            </w:r>
            <w:r>
              <w:rPr>
                <w:rFonts w:eastAsia="Times New Roman"/>
              </w:rPr>
              <w:t>8</w:t>
            </w:r>
            <w:r>
              <w:rPr>
                <w:rFonts w:ascii="宋体" w:hAnsi="宋体"/>
              </w:rPr>
              <w:t>个倍频带声压级合成，计算出预测点的</w:t>
            </w:r>
            <w:r>
              <w:rPr>
                <w:rFonts w:eastAsia="Times New Roman"/>
              </w:rPr>
              <w:t>A</w:t>
            </w:r>
            <w:r>
              <w:rPr>
                <w:rFonts w:ascii="宋体" w:hAnsi="宋体"/>
              </w:rPr>
              <w:t>声级</w:t>
            </w:r>
            <w:r>
              <w:rPr>
                <w:rFonts w:hint="eastAsia"/>
              </w:rPr>
              <w:t>〔</w:t>
            </w:r>
            <w:r>
              <w:rPr>
                <w:rFonts w:eastAsia="Times New Roman"/>
                <w:i/>
              </w:rPr>
              <w:t>L</w:t>
            </w:r>
            <w:r>
              <w:rPr>
                <w:rFonts w:eastAsia="Times New Roman"/>
                <w:vertAlign w:val="subscript"/>
              </w:rPr>
              <w:t>A</w:t>
            </w:r>
            <w:r>
              <w:rPr>
                <w:rFonts w:hint="eastAsia"/>
              </w:rPr>
              <w:t>（</w:t>
            </w:r>
            <w:r>
              <w:rPr>
                <w:rFonts w:eastAsia="Times New Roman"/>
                <w:i/>
              </w:rPr>
              <w:t>r</w:t>
            </w:r>
            <w:r>
              <w:rPr>
                <w:rFonts w:hint="eastAsia"/>
              </w:rPr>
              <w:t>）〕</w:t>
            </w:r>
            <w:r>
              <w:rPr>
                <w:rFonts w:ascii="宋体" w:hAnsi="宋体"/>
              </w:rPr>
              <w:t>。</w:t>
            </w:r>
          </w:p>
          <w:p w14:paraId="5B7E9352">
            <w:pPr>
              <w:ind w:firstLine="0" w:firstLineChars="0"/>
              <w:jc w:val="center"/>
              <w:rPr>
                <w:b/>
              </w:rPr>
            </w:pPr>
            <w:r>
              <w:rPr>
                <w:b/>
              </w:rPr>
              <w:pict>
                <v:shape id="_x0000_i1026" o:spt="75" type="#_x0000_t75" style="height:41pt;width:181.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80&quot;/&gt;&lt;w:characterSpacingControl w:val=&quot;CompressPunctuation&quot;/&gt;&lt;w:documentProtection w:edit=&quot;tracked-changes&quot; w:enforcement=&quot;off&quot;/&gt;&lt;w:embedTrueTypeFonts/&gt;&lt;w:doNotEmbedSystemFonts/&gt;&lt;w:saveSubsetFonts/&gt;&lt;w:defaultTabStop w:val=&quot;420&quot;/&gt;&lt;w:drawingGridVerticalSpacing w:val=&quot;156&quot;/&gt;&lt;w:displayHorizontalDrawingGridEvery w:val=&quot;1&quot;/&gt;&lt;w:displayVerticalDrawingGridEvery w:val=&quot;1&quot;/&gt;&lt;w:noLineBreaksAfter w:lang=&quot;ZH-CN&quot; w:val=&quot;([{路鈥樷€溿€堛€娿€屻€庛€愩€斻€栵紙锛庯蓟锝涳俊锟?/&gt;&lt;w:noLineBreaksBefore w:lang=&quot;ZH-CN&quot; w:val=&quot;!),.:;?]}篓路藝藟鈥曗€栤€欌€濃€︹埗銆併€傘€冦€呫€夈€嬨€嶃€忋€戙€曘€楋紒锛傦紘锛夛紝锛庯細锛涳紵锛斤絸锝滐綕锝烇繝&quot;/&gt;&lt;w:cry w:val=&quot;1&quot;/&gt;&lt;w:displayVerticalDrawingGridEvery w:val=&quot;1&quot;/&gt;&lt;w:noy w:val=&quot;1&quot;/&gt;&lt;w:displayVerticalDrawingGridEvery w:val=&quot;1&quot;/&gt;&lt;w:no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rPr&gt;&lt;/m:ctrlPr&gt;&lt;/m:sSubPr&gt;&lt;m:e&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L&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rPr&gt;&lt;/m:ctrlPr&gt;&lt;/m:e&gt;&lt;m:sub&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A&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rPr&gt;&lt;/m:ctrlPr&gt;&lt;/m:sub&gt;&lt;/m:sSub&gt;&lt;m:d&gt;&lt;m:dP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rPr&gt;&lt;/m:ctrlPr&gt;&lt;/m:dPr&gt;&lt;m:e&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r&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rPr&gt;&lt;/m:ctrlPr&gt;&lt;/m:e&gt;&lt;/m:d&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10&lt;/m:t&gt;&lt;/m:r&gt;&lt;m:func&gt;&lt;m:funcPr&gt;&lt;m:ctrl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ctrlPr&gt;&lt;/m:funcPr&gt;&lt;m:fName&gt;&lt;m:r&gt;&lt;m:rPr&gt;&lt;m:sty m:val=&quot;p&quot;/&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gt;&lt;/w:rPr&gt;&lt;m:t&gt;log&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fName&gt;&lt;m:e&gt;&lt;m:d&gt;&lt;m:dP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dPr&gt;&lt;m:e&gt;&lt;m:nary&gt;&lt;m:naryPr&gt;&lt;m:chr m:val=&quot;鈭?/&gt;&lt;m:limLoc m:val=&quot;undOvr&quot;/&gt;&lt;m:ctrlPr&gt;&lt;w:rPr&gt;&lt;w:rFonts w:ascii=&quot;Cambria Math&quot; w:h-ansi=&quot;Cambria Math&quot; w:cs=&quot;Times New Roman&quot; w:hint=&quot;default&quot;/&gt;&lt;w:i/&gt;&lt;w:color w:val=&quot;auto&quot;/&gt;&lt;w:sz w:vaHl=&quot;24&quot;/&gt;&lt;w:sz-cs w:val=&quot;24&quot;/&gt;&lt;w:highlight w:val=&quot;none&quot;/&gt;&lt;w:shd  mw:val=&quot;clear&quot; w:color=&quot;auto&quot; w:fill=&quot;auto&quot;/&gt;&lt;w:lang w:val=&quot;EN-US&quot; w:fareast=&quot;ZH-CN&quot;/&gt;&lt;/w:rPr&gt;&lt;/m:ctrlPr&gt;&lt;/m:naryPr&gt;&lt;m:sub&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i=1&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sub&gt;&lt;m:sup&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8&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sup&gt;&lt;m:e&gt;&lt;m:sSup&gt;&lt;m:sSupP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sSupPr&gt;&lt;m:e&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10&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e&gt;&lt;m:sup&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0.1&lt;/m:t&gt;&lt;/m:r&gt;&lt;m:d&gt;&lt;m:dP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dPr&gt;&lt;m:e&gt;&lt;m:sSub&gt;&lt;m:sSubP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sSubPr&gt;&lt;m:e&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L&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e&gt;&lt;m:sub&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pi&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sub&gt;&lt;/m:sSub&gt;&lt;m:d&gt;&lt;m:dP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dPr&gt;&lt;m:e&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r&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e&gt;&lt;/m:d&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鈭?/m:t&gt;&lt;/m:r&gt;&lt;mat:r&gt;&lt;m:rPr&gt;&lt;m:scr m:val=&quot;roman&quot;/&gt;&lt;/m:rPr&gt;&lt;w:rPr&gt;&lt;w:rFonts w:ascii=&quot;Cambria Math&quot; w:h-ansi=&quot;Cambria Math&quot; w:cs=&quot;Times New Roman&quot; w:hint=&quot;default&quot;/&gt;&lt;w:color w:val=&quot;auto&quot;/&gt;&lt;w:sz w:val=&quot;24&quot;/&gt;&lt;w:nsz-cs w:val=&quot;24&quot;/&gt;&lt;w:highlight w:val=&quot;none&quot;/&gt;&lt;w:shd w:val=&quot;clear&quot; w:color=&quot;auto&quot; w:fill=&quot;auto&quot;/&gt;&lt;w:lang w:val=&quot;EN-US&quot;/&gt;&lt;/w:rPr&gt;&lt;m:t&gt;鈭?/m:t&gt;&lt;/m:r&gt;&lt;m:sSub&gt;&lt;m:sSubPr&gt;&lt;m:ctrlPr&gt;&lt;w:rPr&gt;&lt;w:rFonts w:ascii=&quot;Cambria Math&quot; w:h-ansi=&quot;Cambria Math&quot; w:cs=&quot;Times New Rnoman&quot; w:hint=&quot;default&quot;/&gt;&lt;w:i/&gt;&lt;w:color w:val=&quot;auto&quot;/&gt;&lt;w:sz w:val=&quot; &quot;24&quot;/&gt;&lt;w:sz-cs w:val=&quot;24&quot;/&gt;&lt;w:highlight w:val=&quot;none&quot;/&gt;&lt;w:shd w:val=&quot;clear&quot; w:color=&quot;auto&quot; w:fill=&quot;auto&quot;/&gt;&lt;w:lang w:val=&quot;EN-US&quot;/&gt;&lt;/w:rPr&gt;&lt;/m:ctrlPr&gt;&lt;/m:sSubPr&gt;&lt;m:e&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L&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gt;&lt;/w:rPr&gt;&lt;/m:ctrlPr&gt;&lt;/m:e&gt;&lt;m:sub&gt;&lt;m:r&gt;&lt;m:rPr&gt;&lt;m:scr m:val=&quot;roman&quot;/&gt;&lt;/m:rPr&gt;&lt;w:rPr&gt;&lt;w:rFonts w:ascii=&quot;Cambria Math&quot; w:h-ansi=&quot;Cambria Math&quot; w:cs=&quot;Times New Roman&quot; w:hint=&quot;default&quot;/&gt;&lt;w:color w:val=&quot;auto&quot;/&gt;&lt;w:sz w:val=&quot;24&quot;/&gt;&lt;w:sz-cs w:val=&quot;24&quot;/&gt;&lt;w:highlight w:val=&quot;none&quot;/&gt;&lt;w:shd w:val=&quot;clear&quot; w:color=&quot;auto&quot; w:fill=&quot;auto&quot;/&gt;&lt;w:lang w:val=&quot;EN-US&quot; w:fareast=&quot;ZH-CN&quot;/&gt;&lt;/w:rPr&gt;&lt;m:t&gt;i&lt;/m:t&gt;&lt;/m:r&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gt;&lt;/w:rPr&gt;&lt;/m:ctrlPr&gt;&lt;/m:sub&gt;&lt;/m:sSub&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e&gt;&lt;/m:d&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sup&gt;&lt;/m:sSup&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e&gt;&lt;/m:nary&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e&gt;&lt;/m:d&gt;&lt;m:ctrlPr&gt;&lt;w:rPr&gt;&lt;w:rFonts w:ascii=&quot;Cambria Math&quot; w:h-ansi=&quot;Cambria Math&quot; w:cs=&quot;Times New Roman&quot; w:hint=&quot;default&quot;/&gt;&lt;w:i/&gt;&lt;w:color w:val=&quot;auto&quot;/&gt;&lt;w:sz w:val=&quot;24&quot;/&gt;&lt;w:sz-cs w:val=&quot;24&quot;/&gt;&lt;w:highlight w:val=&quot;none&quot;/&gt;&lt;w:shd w:val=&quot;clear&quot; w:color=&quot;auto&quot; w:fill=&quot;auto&quot;/&gt;&lt;w:lang w:val=&quot;EN-US&quot; w:fareast=&quot;ZH-CN&quot;/&gt;&lt;/w:rPr&gt;&lt;/m:ctrlPr&gt;&lt;/m:e&gt;&lt;/m:func&gt;&lt;/m:oMath&gt;&lt;/m:oMathPara&gt;&lt;/w:p&gt;&lt;/wx:sect&gt;&lt;/w:body&gt;&lt;/w:wordDocument">
                  <v:path/>
                  <v:fill on="f" focussize="0,0"/>
                  <v:stroke on="f" joinstyle="miter"/>
                  <v:imagedata r:id="rId48" o:title=""/>
                  <o:lock v:ext="edit" aspectratio="f"/>
                  <w10:wrap type="none"/>
                  <w10:anchorlock/>
                </v:shape>
              </w:pict>
            </w:r>
          </w:p>
          <w:p w14:paraId="3332E32C">
            <w:pPr>
              <w:adjustRightInd w:val="0"/>
              <w:snapToGrid w:val="0"/>
              <w:ind w:firstLine="480"/>
            </w:pPr>
            <w:r>
              <w:rPr>
                <w:rFonts w:hint="eastAsia"/>
              </w:rPr>
              <w:t>式中：</w:t>
            </w:r>
          </w:p>
          <w:p w14:paraId="4A76E0FC">
            <w:pPr>
              <w:adjustRightInd w:val="0"/>
              <w:snapToGrid w:val="0"/>
              <w:ind w:firstLine="480"/>
            </w:pPr>
            <w:r>
              <w:t>L</w:t>
            </w:r>
            <w:r>
              <w:rPr>
                <w:vertAlign w:val="subscript"/>
              </w:rPr>
              <w:t>A</w:t>
            </w:r>
            <w:r>
              <w:rPr>
                <w:rFonts w:hint="eastAsia"/>
              </w:rPr>
              <w:t>（</w:t>
            </w:r>
            <w:r>
              <w:t>r</w:t>
            </w:r>
            <w:r>
              <w:rPr>
                <w:rFonts w:hint="eastAsia"/>
              </w:rPr>
              <w:t>）—</w:t>
            </w:r>
            <w:r>
              <w:t>距声源r处的A声级，dB</w:t>
            </w:r>
            <w:r>
              <w:rPr>
                <w:rFonts w:hint="eastAsia"/>
              </w:rPr>
              <w:t>（A）</w:t>
            </w:r>
            <w:r>
              <w:t>；</w:t>
            </w:r>
          </w:p>
          <w:p w14:paraId="55BEE65E">
            <w:pPr>
              <w:adjustRightInd w:val="0"/>
              <w:snapToGrid w:val="0"/>
              <w:ind w:firstLine="480"/>
            </w:pPr>
            <w:r>
              <w:rPr>
                <w:rFonts w:hint="eastAsia"/>
              </w:rPr>
              <w:t>L</w:t>
            </w:r>
            <w:r>
              <w:rPr>
                <w:rFonts w:hint="eastAsia"/>
                <w:vertAlign w:val="subscript"/>
              </w:rPr>
              <w:t>pi</w:t>
            </w:r>
            <w:r>
              <w:rPr>
                <w:rFonts w:hint="eastAsia"/>
              </w:rPr>
              <w:t>（r）—预测点（r）处，第i倍频带声压级，dB；</w:t>
            </w:r>
          </w:p>
          <w:p w14:paraId="1CF858C0">
            <w:pPr>
              <w:adjustRightInd w:val="0"/>
              <w:snapToGrid w:val="0"/>
              <w:ind w:firstLine="480"/>
            </w:pPr>
            <w:r>
              <w:rPr>
                <w:rFonts w:hint="eastAsia"/>
              </w:rPr>
              <w:t>△L</w:t>
            </w:r>
            <w:r>
              <w:rPr>
                <w:rFonts w:hint="eastAsia"/>
                <w:vertAlign w:val="subscript"/>
              </w:rPr>
              <w:t>i</w:t>
            </w:r>
            <w:r>
              <w:rPr>
                <w:rFonts w:hint="eastAsia"/>
              </w:rPr>
              <w:t>—i倍频带A计算网络修正值，dB（根据导则附录B计算）。</w:t>
            </w:r>
          </w:p>
          <w:p w14:paraId="3B53EF38">
            <w:pPr>
              <w:adjustRightInd w:val="0"/>
              <w:snapToGrid w:val="0"/>
              <w:ind w:firstLine="480"/>
            </w:pPr>
            <w:r>
              <w:rPr>
                <w:rFonts w:hint="eastAsia"/>
              </w:rPr>
              <w:t>衰减项计算按导则附录A中A.3相关模式计算。</w:t>
            </w:r>
          </w:p>
          <w:p w14:paraId="27A2F811">
            <w:pPr>
              <w:ind w:firstLine="482"/>
              <w:rPr>
                <w:b/>
                <w:bCs/>
              </w:rPr>
            </w:pPr>
            <w:r>
              <w:rPr>
                <w:rFonts w:hint="eastAsia"/>
                <w:b/>
                <w:bCs/>
              </w:rPr>
              <w:t>（3）噪声贡献值计算</w:t>
            </w:r>
          </w:p>
          <w:p w14:paraId="57C048F9">
            <w:pPr>
              <w:adjustRightInd w:val="0"/>
              <w:snapToGrid w:val="0"/>
              <w:ind w:firstLine="480"/>
            </w:pPr>
            <w:r>
              <w:rPr>
                <w:rFonts w:hint="eastAsia"/>
              </w:rPr>
              <w:t>设第</w:t>
            </w:r>
            <w:r>
              <w:t>i</w:t>
            </w:r>
            <w:r>
              <w:rPr>
                <w:rFonts w:hint="eastAsia"/>
              </w:rPr>
              <w:t>个室外声源在预测点产生的</w:t>
            </w:r>
            <w:r>
              <w:t>A</w:t>
            </w:r>
            <w:r>
              <w:rPr>
                <w:rFonts w:hint="eastAsia"/>
              </w:rPr>
              <w:t>声级为</w:t>
            </w:r>
            <w:r>
              <w:t>L</w:t>
            </w:r>
            <w:r>
              <w:rPr>
                <w:vertAlign w:val="subscript"/>
              </w:rPr>
              <w:t>Ai</w:t>
            </w:r>
            <w:r>
              <w:rPr>
                <w:rFonts w:hint="eastAsia"/>
              </w:rPr>
              <w:t>，在</w:t>
            </w:r>
            <w:r>
              <w:t>T</w:t>
            </w:r>
            <w:r>
              <w:rPr>
                <w:rFonts w:hint="eastAsia"/>
              </w:rPr>
              <w:t>时间内该声源工作时间为</w:t>
            </w:r>
            <w:r>
              <w:t>t</w:t>
            </w:r>
            <w:r>
              <w:rPr>
                <w:vertAlign w:val="subscript"/>
              </w:rPr>
              <w:t>i</w:t>
            </w:r>
            <w:r>
              <w:rPr>
                <w:rFonts w:hint="eastAsia"/>
              </w:rPr>
              <w:t>；第</w:t>
            </w:r>
            <w:r>
              <w:t>j</w:t>
            </w:r>
            <w:r>
              <w:rPr>
                <w:rFonts w:hint="eastAsia"/>
              </w:rPr>
              <w:t>个等效室外声源在预测点产生的</w:t>
            </w:r>
            <w:r>
              <w:t>A</w:t>
            </w:r>
            <w:r>
              <w:rPr>
                <w:rFonts w:hint="eastAsia"/>
              </w:rPr>
              <w:t>声级为</w:t>
            </w:r>
            <w:r>
              <w:t>L</w:t>
            </w:r>
            <w:r>
              <w:rPr>
                <w:vertAlign w:val="subscript"/>
              </w:rPr>
              <w:t>Aj</w:t>
            </w:r>
            <w:r>
              <w:rPr>
                <w:rFonts w:hint="eastAsia"/>
              </w:rPr>
              <w:t>，在</w:t>
            </w:r>
            <w:r>
              <w:t>T</w:t>
            </w:r>
            <w:r>
              <w:rPr>
                <w:rFonts w:hint="eastAsia"/>
              </w:rPr>
              <w:t>时间内该声源工作时间为</w:t>
            </w:r>
            <w:r>
              <w:t>t</w:t>
            </w:r>
            <w:r>
              <w:rPr>
                <w:vertAlign w:val="subscript"/>
              </w:rPr>
              <w:t xml:space="preserve"> j</w:t>
            </w:r>
            <w:r>
              <w:rPr>
                <w:rFonts w:hint="eastAsia"/>
              </w:rPr>
              <w:t>，则拟建工程声源对预测点产生的贡献值（</w:t>
            </w:r>
            <w:r>
              <w:t>L</w:t>
            </w:r>
            <w:r>
              <w:rPr>
                <w:vertAlign w:val="subscript"/>
              </w:rPr>
              <w:t>eqg</w:t>
            </w:r>
            <w:r>
              <w:rPr>
                <w:rFonts w:hint="eastAsia"/>
              </w:rPr>
              <w:t>）为：</w:t>
            </w:r>
          </w:p>
          <w:p w14:paraId="71B133F0">
            <w:pPr>
              <w:adjustRightInd w:val="0"/>
              <w:snapToGrid w:val="0"/>
              <w:ind w:firstLine="0" w:firstLineChars="0"/>
              <w:jc w:val="center"/>
              <w:rPr>
                <w:szCs w:val="28"/>
              </w:rPr>
            </w:pPr>
            <w:r>
              <w:rPr>
                <w:szCs w:val="28"/>
              </w:rPr>
              <w:pict>
                <v:shape id="_x0000_i1027" o:spt="75" type="#_x0000_t75" style="height:46pt;width:239.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80&quot;/&gt;&lt;w:characterSpacingControl w:val=&quot;CompressPunctuation&quot;/&gt;&lt;w:documentProtection w:edit=&quot;tracked-changes&quot; w:enforcement=&quot;off&quot;/&gt;&lt;w:embedTrueTypeFonts/&gt;&lt;w:doNotEmbedSystemFonts/&gt;&lt;w:saveSubsetFonts/&gt;&lt;w:defaultTabStop w:val=&quot;420&quot;/&gt;&lt;w:drawingGridVerticalSpacing w:val=&quot;156&quot;/&gt;&lt;w:displayHorizontalDrawingGridEvery w:val=&quot;1&quot;/&gt;&lt;w:displayVerticalDrawingGridEvery w:val=&quot;1&quot;/&gt;&lt;w:noLineBreaksAfter w:lang=&quot;ZH-CN&quot; w:val=&quot;([{路鈥樷€溿€堛€娿€屻€庛€愩€斻€栵紙锛庯蓟锝涳俊锟?/&gt;&lt;w:noLineBreaksBefore w:lang=&quot;ZH-CN&quot; w:val=&quot;!),.:;?]}篓路藝藟鈥曗€栤€欌€濃€︹埗銆併€傘€冦€呫€夈€嬨€嶃€忋€戙€曘€楋紒锛傦紘锛夛紝锛庯細锛涳紵锛斤絸锝滐綕锝烇繝&quot;/&gt;&lt;w:cry w:val=&quot;1&quot;/&gt;&lt;w:displayVerticalDrawingGridEvery w:val=&quot;1&quot;/&gt;&lt;w:noy w:val=&quot;1&quot;/&gt;&lt;w:displayVerticalDrawingGridEvery w:val=&quot;1&quot;/&gt;&lt;w:no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cs=&quot;Times New Roman&quot; w:hint=&quot;default&quot;/&gt;&lt;w:i w:val=&quot;off&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SubPr&gt;&lt;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L&lt;/m:t&gt;&lt;/m:r&gt;&lt;m:ctrlPr&gt;&lt;w:rPr&gt;&lt;w:rFonts w:ascii=&quot;Cambria Math&quot; w:h-ansi=&quot;Cambria Math&quot; w:cs=&quot;Times New Roman&quot; w:hint=&quot;default&quot;/&gt;&lt;w:i w:val=&quot;off&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sub&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eqg&lt;/m:t&gt;&lt;/m:r&gt;&lt;m:ctrlPr&gt;&lt;w:rPr&gt;&lt;w:rFonts w:ascii=&quot;Cambria Math&quot; w:h-ansi=&quot;Cambria Math&quot; w:cs=&quot;Times New Roman&quot; w:hint=&quot;default&quot;/&gt;&lt;w:i w:val=&quot;off&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b&gt;&lt;/m:sSub&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10&lt;/m:t&gt;&lt;/m:r&gt;&lt;m:func&gt;&lt;m:func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funcPr&gt;&lt;m:fNa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bidi=&quot;AR-SA&quot;/&gt;&lt;/w:rPr&gt;&lt;m:t&gt;log&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fName&gt;&lt;m:e&gt;&lt;m:d&gt;&lt;m:dPr&gt;&lt;m:begChr m:val=&quot;[&quot;/&gt;&lt;m:endChr m:val=&quot;]&quot;/&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dPr&gt;&lt;m:e&gt;&lt;m:f&gt;&lt;m:f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fPr&gt;&lt;m:num&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1&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num&gt;&lt;m:den&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T&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den&gt;&lt;/m:f&gt;&lt;m:d&gt;&lt;m:d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dPr&gt;&lt;m:e&gt;&lt;m:nary&gt;&lt;m:naryPr&gt;&lt;m:chr m:val=&quot;鈭?/&gt;&lt;m:limLoc m:val=&quot;undOvr&quot;/&gt;&lt;m:ctrlPr&gt;&lt;w:rPr:&gt;&lt;w:rFonts w:ascii=&quot;Cambria Math&quot; w:h-ansi=&quot;Cambria Math&quot; w:cs=lo&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naryPr&gt;&lt;m:sub&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i=1&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b&gt;&lt;m:sup&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N&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p&gt;&lt;m:e&gt;&lt;m:sSub&gt;&lt;m:sSub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SubPr&gt;&lt;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t&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sub&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i&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b&gt;&lt;/m:sSub&gt;&lt;m:sSup&gt;&lt;m:sSup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SupPr&gt;&lt;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10&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sup&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0.1&lt;/m:t&gt;&lt;/m:r&gt;&lt;m:sSub&gt;&lt;m:sSub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SubPr&gt;&lt;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L&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sub&gt;&lt;m:sSub&gt;&lt;m:sSub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SubPr&gt;&lt;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A&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sub&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i&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b&gt;&lt;/m:sSub&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b&gt;&lt;/m:sSub&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p&gt;&lt;/m:sSup&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nary&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lt;/m:t&gt;&lt;/m:r&gt;&lt;m:nary&gt;&lt;m:naryPr&gt;&lt;m:chr m:val=&quot;鈭?/&gt;&lt;m:limLoc m:val=&quot;und&lt;wOvr&quot;/&gt;&lt;m:ctrlPr&gt;&lt;w:rPr&gt;&lt;w:rFonts w:ascii=&quot;Cambria Math&quot; w:h-ansi=&quot;Cambria Math&quot; w:cs=&quot;Times New Roman&quot; w:hint=&quot;default&quot;/&gt;&lt;w:color w:val=&quot;auto&quot;/&gt;&lt;w:kern w:val=&quot;2&quot;/&gt;&lt;w:sz w:val=&quot;24&quot;/&gt;&lt;w:sz-cst w:val=&quot;24&quot;/&gt;&lt;w:highlight w:val=&quot;none&quot;/&gt;&lt;w:shd w:val=&quot;clear&quot; w:color=&quot;auto&quot; w:fill=&quot;auto&quot;/&gt;&lt;w:lang w:val=&quot;EN-US&quot; w:fareast=&quot;ZH-CN&quot; w:bidi=&quot;AR-SA&quot;/&gt;&lt;/w:rPr&gt;&lt;/m:ctrlPr&gt;&lt;/m:naryPr&gt;&lt;m:sub&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j=1&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b&gt;&lt;m:sup&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M&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p&gt;&lt;m:e&gt;&lt;m:sSub&gt;&lt;m:sSub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SubPr&gt;&lt;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t&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sub&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j&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b&gt;&lt;/m:sSub&gt;&lt;m:sSup&gt;&lt;m:sSup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SupPr&gt;&lt;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10&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sup&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0.1&lt;/m:t&gt;&lt;/m:r&gt;&lt;m:sSub&gt;&lt;m:sSub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SubPr&gt;&lt;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L&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sub&gt;&lt;m:sSub&gt;&lt;m:sSubP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SubPr&gt;&lt;m:e&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A&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sub&gt;&lt;m:r&gt;&lt;m:rPr&gt;&lt;m:sty m:val=&quot;p&quot;/&gt;&lt;m:scr m:val=&quot;roman&quot;/&gt;&lt;/m:r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t&gt;j&lt;/m:t&gt;&lt;/m:r&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b&gt;&lt;/m:sSub&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b&gt;&lt;/m:sSub&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sup&gt;&lt;/m:sSup&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nary&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d&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d&gt;&lt;m:ctrlPr&gt;&lt;w:rPr&gt;&lt;w:rFonts w:ascii=&quot;Cambria Math&quot; w:h-ansi=&quot;Cambria Math&quot; w:cs=&quot;Times New Roman&quot; w:hint=&quot;default&quot;/&gt;&lt;w:color w:val=&quot;auto&quot;/&gt;&lt;w:kern w:val=&quot;2&quot;/&gt;&lt;w:sz w:val=&quot;24&quot;/&gt;&lt;w:sz-cs w:val=&quot;24&quot;/&gt;&lt;w:highlight w:val=&quot;none&quot;/&gt;&lt;w:shd w:val=&quot;clear&quot; w:color=&quot;auto&quot; w:fill=&quot;auto&quot;/&gt;&lt;w:lang w:val=&quot;EN-US&quot; w:fareast=&quot;ZH-CN&quot; w:bidi=&quot;AR-SA&quot;/&gt;&lt;/w:rPr&gt;&lt;/m:ctrlPr&gt;&lt;/m:e&gt;&lt;/m:func&gt;&lt;/m:oMath&gt;&lt;/m:oMathPara&gt;&lt;/w:p&gt;&lt;/wx:sect&gt;&lt;/w:body&gt;&lt;/w:wordDocument">
                  <v:path/>
                  <v:fill on="f" focussize="0,0"/>
                  <v:stroke on="f" joinstyle="miter"/>
                  <v:imagedata r:id="rId49" o:title=""/>
                  <o:lock v:ext="edit" aspectratio="f"/>
                  <w10:wrap type="none"/>
                  <w10:anchorlock/>
                </v:shape>
              </w:pict>
            </w:r>
          </w:p>
          <w:p w14:paraId="4D114353">
            <w:pPr>
              <w:ind w:firstLine="480"/>
            </w:pPr>
            <w:r>
              <w:rPr>
                <w:rFonts w:hint="eastAsia"/>
              </w:rPr>
              <w:t>式中：</w:t>
            </w:r>
            <w:r>
              <w:t>L</w:t>
            </w:r>
            <w:r>
              <w:rPr>
                <w:vertAlign w:val="subscript"/>
              </w:rPr>
              <w:t>eqg</w:t>
            </w:r>
            <w:r>
              <w:t>——</w:t>
            </w:r>
            <w:r>
              <w:rPr>
                <w:rFonts w:hint="eastAsia"/>
              </w:rPr>
              <w:t>建设项目声源在预测点产生的噪声贡献值，</w:t>
            </w:r>
            <w:r>
              <w:t>dB</w:t>
            </w:r>
            <w:r>
              <w:rPr>
                <w:rFonts w:hint="eastAsia"/>
              </w:rPr>
              <w:t>（</w:t>
            </w:r>
            <w:r>
              <w:t>A</w:t>
            </w:r>
            <w:r>
              <w:rPr>
                <w:rFonts w:hint="eastAsia"/>
              </w:rPr>
              <w:t xml:space="preserve">）； </w:t>
            </w:r>
          </w:p>
          <w:p w14:paraId="5F3F2E93">
            <w:pPr>
              <w:ind w:firstLine="1200" w:firstLineChars="500"/>
            </w:pPr>
            <w:r>
              <w:t>T——</w:t>
            </w:r>
            <w:r>
              <w:rPr>
                <w:rFonts w:hint="eastAsia"/>
              </w:rPr>
              <w:t>用于计算等效声级的时间，</w:t>
            </w:r>
            <w:r>
              <w:t>s</w:t>
            </w:r>
            <w:r>
              <w:rPr>
                <w:rFonts w:hint="eastAsia"/>
              </w:rPr>
              <w:t xml:space="preserve">； </w:t>
            </w:r>
          </w:p>
          <w:p w14:paraId="0081CE96">
            <w:pPr>
              <w:ind w:firstLine="1200" w:firstLineChars="500"/>
            </w:pPr>
            <w:r>
              <w:t>N——</w:t>
            </w:r>
            <w:r>
              <w:rPr>
                <w:rFonts w:hint="eastAsia"/>
              </w:rPr>
              <w:t xml:space="preserve">室外声源个数； </w:t>
            </w:r>
          </w:p>
          <w:p w14:paraId="71E932E0">
            <w:pPr>
              <w:ind w:firstLine="1200" w:firstLineChars="500"/>
            </w:pPr>
            <w:r>
              <w:t>t</w:t>
            </w:r>
            <w:r>
              <w:rPr>
                <w:rFonts w:hint="eastAsia"/>
                <w:vertAlign w:val="subscript"/>
              </w:rPr>
              <w:t>i</w:t>
            </w:r>
            <w:r>
              <w:t>——</w:t>
            </w:r>
            <w:r>
              <w:rPr>
                <w:rFonts w:hint="eastAsia"/>
              </w:rPr>
              <w:t>在</w:t>
            </w:r>
            <w:r>
              <w:t>T</w:t>
            </w:r>
            <w:r>
              <w:rPr>
                <w:rFonts w:hint="eastAsia"/>
              </w:rPr>
              <w:t>时间内</w:t>
            </w:r>
            <w:r>
              <w:t>i</w:t>
            </w:r>
            <w:r>
              <w:rPr>
                <w:rFonts w:hint="eastAsia"/>
              </w:rPr>
              <w:t>声源工作时间，</w:t>
            </w:r>
            <w:r>
              <w:t>s</w:t>
            </w:r>
            <w:r>
              <w:rPr>
                <w:rFonts w:hint="eastAsia"/>
              </w:rPr>
              <w:t xml:space="preserve">； </w:t>
            </w:r>
          </w:p>
          <w:p w14:paraId="6F8CC7B1">
            <w:pPr>
              <w:ind w:firstLine="1200" w:firstLineChars="500"/>
            </w:pPr>
            <w:r>
              <w:t>M——</w:t>
            </w:r>
            <w:r>
              <w:rPr>
                <w:rFonts w:hint="eastAsia"/>
              </w:rPr>
              <w:t xml:space="preserve">等效室外声源个数； </w:t>
            </w:r>
          </w:p>
          <w:p w14:paraId="23FDBEAC">
            <w:pPr>
              <w:ind w:firstLine="1200" w:firstLineChars="500"/>
            </w:pPr>
            <w:r>
              <w:t>t</w:t>
            </w:r>
            <w:r>
              <w:rPr>
                <w:rFonts w:hint="eastAsia"/>
                <w:vertAlign w:val="subscript"/>
              </w:rPr>
              <w:t>j</w:t>
            </w:r>
            <w:r>
              <w:t>——</w:t>
            </w:r>
            <w:r>
              <w:rPr>
                <w:rFonts w:hint="eastAsia"/>
              </w:rPr>
              <w:t>在</w:t>
            </w:r>
            <w:r>
              <w:t>T</w:t>
            </w:r>
            <w:r>
              <w:rPr>
                <w:rFonts w:hint="eastAsia"/>
              </w:rPr>
              <w:t>时间内</w:t>
            </w:r>
            <w:r>
              <w:t>j</w:t>
            </w:r>
            <w:r>
              <w:rPr>
                <w:rFonts w:hint="eastAsia"/>
              </w:rPr>
              <w:t>声源工作时间，</w:t>
            </w:r>
            <w:r>
              <w:t>s</w:t>
            </w:r>
            <w:r>
              <w:rPr>
                <w:rFonts w:hint="eastAsia"/>
              </w:rPr>
              <w:t>。</w:t>
            </w:r>
          </w:p>
          <w:p w14:paraId="05A86D33">
            <w:pPr>
              <w:ind w:firstLine="482"/>
              <w:rPr>
                <w:b/>
                <w:bCs/>
              </w:rPr>
            </w:pPr>
            <w:r>
              <w:rPr>
                <w:rFonts w:hint="eastAsia"/>
                <w:b/>
                <w:bCs/>
              </w:rPr>
              <w:t>（4）噪声预测值计算</w:t>
            </w:r>
          </w:p>
          <w:p w14:paraId="7A4A6046">
            <w:pPr>
              <w:ind w:firstLine="480"/>
            </w:pPr>
            <w:r>
              <w:t>预测点的贡献值和背景值按能量叠加方法计算得到的声级</w:t>
            </w:r>
            <w:r>
              <w:rPr>
                <w:rFonts w:hint="eastAsia"/>
              </w:rPr>
              <w:t>，</w:t>
            </w:r>
            <w:r>
              <w:t>计算公式：</w:t>
            </w:r>
          </w:p>
          <w:p w14:paraId="30446315">
            <w:pPr>
              <w:ind w:firstLine="0" w:firstLineChars="0"/>
              <w:jc w:val="center"/>
            </w:pPr>
            <w:r>
              <w:pict>
                <v:shape id="_x0000_i1028" o:spt="75" type="#_x0000_t75" style="height:16.5pt;width:171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80&quot;/&gt;&lt;w:characterSpacingControl w:val=&quot;CompressPunctuation&quot;/&gt;&lt;w:documentProtection w:edit=&quot;tracked-changes&quot; w:enforcement=&quot;off&quot;/&gt;&lt;w:embedTrueTypeFonts/&gt;&lt;w:doNotEmbedSystemFonts/&gt;&lt;w:saveSubsetFonts/&gt;&lt;w:defaultTabStop w:val=&quot;420&quot;/&gt;&lt;w:drawingGridVerticalSpacing w:val=&quot;156&quot;/&gt;&lt;w:displayHorizontalDrawingGridEvery w:val=&quot;1&quot;/&gt;&lt;w:displayVerticalDrawingGridEvery w:val=&quot;1&quot;/&gt;&lt;w:noLineBreaksAfter w:lang=&quot;ZH-CN&quot; w:val=&quot;([{路鈥樷€溿€堛€娿€屻€庛€愩€斻€栵紙锛庯蓟锝涳俊锟?/&gt;&lt;w:noLineBreaksBefore w:lang=&quot;ZH-CN&quot; w:val=&quot;!),.:;?]}篓路藝藟鈥曗€栤€欌€濃€︹埗銆併€傘€冦€呫€夈€嬨€嶃€忋€戙€曘€楋紒锛傦紘锛夛紝锛庯細锛涳紵锛斤絸锝滐綕锝烇繝&quot;/&gt;&lt;w:cry w:val=&quot;1&quot;/&gt;&lt;w:displayVerticalDrawingGridEvery w:val=&quot;1&quot;/&gt;&lt;w:noy w:val=&quot;1&quot;/&gt;&lt;w:displayVerticalDrawingGridEvery w:val=&quot;1&quot;/&gt;&lt;w:no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rPr&gt;&lt;/m:ctrlPr&gt;&lt;/m:sSubPr&gt;&lt;m:e&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L&lt;/m:t&gt;&lt;/m: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rPr&gt;&lt;/m:ctrlPr&gt;&lt;/m:e&gt;&lt;m:sub&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eq&lt;/m:t&gt;&lt;/m: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rPr&gt;&lt;/m:ctrlPr&gt;&lt;/m:sub&gt;&lt;/m:sSub&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10&lt;/m:t&gt;&lt;/m:r&gt;&lt;m:func&gt;&lt;m:funcPr&gt;&lt;m:ctrl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ctrlPr&gt;&lt;/m:funcPr&gt;&lt;m:fName&gt;&lt;m:r&gt;&lt;m:rPr&gt;&lt;m:sty m:val=&quot;p&quot;/&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gt;&lt;/w:rPr&gt;&lt;m:t&gt;log&lt;/m:t&gt;&lt;/m: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fName&gt;&lt;m:e&gt;&lt;m:d&gt;&lt;m:dP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dPr&gt;&lt;m:e&gt;&lt;m:sSup&gt;&lt;m:sSupP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sSupPr&gt;&lt;m:e&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10&lt;/m:t&gt;&lt;/m: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e&gt;&lt;m:sup&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0.1&lt;/m:t&gt;&lt;/m:r&gt;&lt;m:sSub&gt;&lt;m:sSubP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sSubPr&gt;&lt;m:e&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L&lt;/m:t&gt;&lt;/m: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e&gt;&lt;m:sub&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eqg&lt;/m:t&gt;&lt;/m: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sub&gt;&lt;/m:sSub&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sup&gt;&lt;/m:sSup&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lt;/m:t&gt;&lt;/m:r&gt;&lt;m:sSup&gt;&lt;m:sSupP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sSupPr&gt;&lt;m:e&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10&lt;/m:t&gt;&lt;/m: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e&gt;&lt;m:sup&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0.1&lt;/m:t&gt;&lt;/m:r&gt;&lt;m:sSub&gt;&lt;m:sSubP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sSubPr&gt;&lt;m:e&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L&lt;/m:t&gt;&lt;/m: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e&gt;&lt;m:sub&gt;&lt;m:r&gt;&lt;m:rPr&gt;&lt;m:scr m:val=&quot;roman&quot;/&gt;&lt;/m:rPr&gt;&lt;w:rPr&gt;&lt;w:rFonts w:ascii=&quot;Cambria Math&quot; w:h-ansi=&quot;Cambria Math&quot; w:cs=&quot;Times New Roman&quot; w:hint=&quot;default&quot;/&gt;&lt;w:color w:val=&quot;auto&quot;/&gt;&lt;w:sz w:val=&quot;24&quot;/&gt;&lt;w:highlight w:val=&quot;none&quot;/&gt;&lt;w:shd w:val=&quot;clear&quot; w:color=&quot;auto&quot; w:fill=&quot;auto&quot;/&gt;&lt;w:lang w:val=&quot;EN-US&quot; w:fareast=&quot;ZH-CN&quot;/&gt;&lt;/w:rPr&gt;&lt;m:t&gt;eqb&lt;/m:t&gt;&lt;/m:r&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sub&gt;&lt;/m:sSub&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sup&gt;&lt;/m:sSup&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e&gt;&lt;/m:d&gt;&lt;m:ctrlPr&gt;&lt;w:rPr&gt;&lt;w:rFonts w:ascii=&quot;Cambria Math&quot; w:h-ansi=&quot;Cambria Math&quot; w:cs=&quot;Times New Roman&quot; w:hint=&quot;default&quot;/&gt;&lt;w:i/&gt;&lt;w:color w:val=&quot;auto&quot;/&gt;&lt;w:sz w:val=&quot;24&quot;/&gt;&lt;w:highlight w:val=&quot;none&quot;/&gt;&lt;w:shd w:val=&quot;clear&quot; w:color=&quot;auto&quot; w:fill=&quot;auto&quot;/&gt;&lt;w:lang w:val=&quot;EN-US&quot; w:fareast=&quot;ZH-CN&quot;/&gt;&lt;/w:rPr&gt;&lt;/m:ctrlPr&gt;&lt;/m:e&gt;&lt;/m:func&gt;&lt;/m:oMath&gt;&lt;/m:oMathPara&gt;&lt;/w:p&gt;&lt;/wx:sect&gt;&lt;/w:body&gt;&lt;/w:wordDocument">
                  <v:path/>
                  <v:fill on="f" focussize="0,0"/>
                  <v:stroke on="f" joinstyle="miter"/>
                  <v:imagedata r:id="rId50" o:title=""/>
                  <o:lock v:ext="edit" aspectratio="f"/>
                  <w10:wrap type="none"/>
                  <w10:anchorlock/>
                </v:shape>
              </w:pict>
            </w:r>
          </w:p>
          <w:p w14:paraId="5C671E53">
            <w:pPr>
              <w:ind w:firstLine="480"/>
            </w:pPr>
            <w:r>
              <w:t>式中：</w:t>
            </w:r>
          </w:p>
          <w:p w14:paraId="64DFD059">
            <w:pPr>
              <w:ind w:firstLine="480"/>
            </w:pPr>
            <w:r>
              <w:rPr>
                <w:rFonts w:hint="eastAsia"/>
              </w:rPr>
              <w:t>L</w:t>
            </w:r>
            <w:r>
              <w:rPr>
                <w:rFonts w:hint="eastAsia"/>
                <w:vertAlign w:val="subscript"/>
              </w:rPr>
              <w:t>eq</w:t>
            </w:r>
            <w:r>
              <w:t>—预测点的噪声预测值，dB；</w:t>
            </w:r>
          </w:p>
          <w:p w14:paraId="46A70E9E">
            <w:pPr>
              <w:ind w:firstLine="480"/>
            </w:pPr>
            <w:r>
              <w:t>L</w:t>
            </w:r>
            <w:r>
              <w:rPr>
                <w:vertAlign w:val="subscript"/>
              </w:rPr>
              <w:t>eqg</w:t>
            </w:r>
            <w:r>
              <w:t>—建设项目声源在预测点产生的噪声贡献值，dB</w:t>
            </w:r>
            <w:r>
              <w:rPr>
                <w:rFonts w:hint="eastAsia"/>
              </w:rPr>
              <w:t>；</w:t>
            </w:r>
          </w:p>
          <w:p w14:paraId="79F12B0B">
            <w:pPr>
              <w:ind w:firstLine="480"/>
            </w:pPr>
            <w:r>
              <w:t>L</w:t>
            </w:r>
            <w:r>
              <w:rPr>
                <w:vertAlign w:val="subscript"/>
              </w:rPr>
              <w:t>eq</w:t>
            </w:r>
            <w:r>
              <w:rPr>
                <w:rFonts w:hint="eastAsia"/>
                <w:vertAlign w:val="subscript"/>
              </w:rPr>
              <w:t>b</w:t>
            </w:r>
            <w:r>
              <w:t>—预测点的背景噪声值，dB。</w:t>
            </w:r>
          </w:p>
          <w:p w14:paraId="15137C9C">
            <w:pPr>
              <w:ind w:firstLine="482"/>
              <w:rPr>
                <w:b/>
                <w:bCs/>
              </w:rPr>
            </w:pPr>
            <w:r>
              <w:rPr>
                <w:rFonts w:hint="eastAsia"/>
                <w:b/>
                <w:bCs/>
              </w:rPr>
              <w:t>（5）隔声量的确定</w:t>
            </w:r>
          </w:p>
          <w:p w14:paraId="6D975C2A">
            <w:pPr>
              <w:snapToGrid w:val="0"/>
              <w:ind w:right="11" w:firstLine="480"/>
            </w:pPr>
            <w:r>
              <w:rPr>
                <w:rFonts w:hint="eastAsia"/>
              </w:rPr>
              <w:t>项目主要噪声设备大多设置于各建构筑物内，设备噪声经墙体隔声，设备基础减振后，可削减15dB（A）以上。</w:t>
            </w:r>
          </w:p>
          <w:p w14:paraId="48F79B75">
            <w:pPr>
              <w:ind w:firstLine="482"/>
              <w:rPr>
                <w:b/>
                <w:bCs/>
              </w:rPr>
            </w:pPr>
            <w:r>
              <w:rPr>
                <w:rFonts w:hint="eastAsia"/>
                <w:b/>
                <w:bCs/>
              </w:rPr>
              <w:t>（6）预测结果</w:t>
            </w:r>
          </w:p>
          <w:p w14:paraId="07866111">
            <w:pPr>
              <w:ind w:firstLine="480"/>
              <w:rPr>
                <w:b/>
              </w:rPr>
            </w:pPr>
            <w:r>
              <w:rPr>
                <w:lang w:val="zh-CN"/>
              </w:rPr>
              <w:t>利用上述模式计算本项目噪声源同时工作时，预测到厂界的噪声最大值及位置，具体预测结果见表</w:t>
            </w:r>
            <w:r>
              <w:rPr>
                <w:rFonts w:hint="eastAsia"/>
              </w:rPr>
              <w:t>4.2-5</w:t>
            </w:r>
            <w:r>
              <w:rPr>
                <w:lang w:val="zh-CN"/>
              </w:rPr>
              <w:t>所示。</w:t>
            </w:r>
          </w:p>
          <w:p w14:paraId="45ACE42B">
            <w:pPr>
              <w:spacing w:before="120" w:beforeLines="50" w:line="240" w:lineRule="auto"/>
              <w:ind w:firstLine="0" w:firstLineChars="0"/>
              <w:jc w:val="center"/>
              <w:outlineLvl w:val="4"/>
              <w:rPr>
                <w:b/>
                <w:kern w:val="0"/>
              </w:rPr>
            </w:pPr>
            <w:r>
              <w:rPr>
                <w:b/>
                <w:kern w:val="0"/>
              </w:rPr>
              <w:t>表4.</w:t>
            </w:r>
            <w:r>
              <w:rPr>
                <w:rFonts w:hint="eastAsia"/>
                <w:b/>
                <w:kern w:val="0"/>
              </w:rPr>
              <w:t>2</w:t>
            </w:r>
            <w:r>
              <w:rPr>
                <w:b/>
                <w:kern w:val="0"/>
              </w:rPr>
              <w:t>-</w:t>
            </w:r>
            <w:r>
              <w:rPr>
                <w:rFonts w:hint="eastAsia"/>
                <w:b/>
                <w:kern w:val="0"/>
              </w:rPr>
              <w:t>5</w:t>
            </w:r>
            <w:r>
              <w:rPr>
                <w:b/>
                <w:kern w:val="0"/>
              </w:rPr>
              <w:t xml:space="preserve">  厂界噪声预测结果   单位：dB</w:t>
            </w:r>
            <w:r>
              <w:rPr>
                <w:rFonts w:hint="eastAsia"/>
                <w:b/>
                <w:kern w:val="0"/>
              </w:rPr>
              <w:t>（A）</w:t>
            </w:r>
          </w:p>
          <w:tbl>
            <w:tblPr>
              <w:tblStyle w:val="30"/>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97"/>
              <w:gridCol w:w="1734"/>
              <w:gridCol w:w="958"/>
              <w:gridCol w:w="962"/>
              <w:gridCol w:w="1047"/>
              <w:gridCol w:w="1048"/>
              <w:gridCol w:w="1420"/>
              <w:gridCol w:w="1393"/>
            </w:tblGrid>
            <w:tr w14:paraId="17254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9" w:hRule="atLeast"/>
                <w:jc w:val="center"/>
              </w:trPr>
              <w:tc>
                <w:tcPr>
                  <w:tcW w:w="376" w:type="pct"/>
                  <w:vMerge w:val="restart"/>
                  <w:vAlign w:val="center"/>
                </w:tcPr>
                <w:p w14:paraId="1DC1CA17">
                  <w:pPr>
                    <w:spacing w:line="340" w:lineRule="exact"/>
                    <w:ind w:firstLine="0" w:firstLineChars="0"/>
                    <w:jc w:val="center"/>
                    <w:rPr>
                      <w:b/>
                      <w:bCs/>
                      <w:sz w:val="21"/>
                      <w:szCs w:val="21"/>
                      <w:lang w:bidi="ar"/>
                    </w:rPr>
                  </w:pPr>
                  <w:r>
                    <w:rPr>
                      <w:b/>
                      <w:bCs/>
                      <w:sz w:val="21"/>
                      <w:szCs w:val="21"/>
                      <w:lang w:bidi="ar"/>
                    </w:rPr>
                    <w:t>编号</w:t>
                  </w:r>
                </w:p>
              </w:tc>
              <w:tc>
                <w:tcPr>
                  <w:tcW w:w="936" w:type="pct"/>
                  <w:vMerge w:val="restart"/>
                  <w:vAlign w:val="center"/>
                </w:tcPr>
                <w:p w14:paraId="1C61D356">
                  <w:pPr>
                    <w:spacing w:line="340" w:lineRule="exact"/>
                    <w:ind w:firstLine="0" w:firstLineChars="0"/>
                    <w:jc w:val="center"/>
                    <w:rPr>
                      <w:b/>
                      <w:bCs/>
                      <w:sz w:val="21"/>
                      <w:szCs w:val="21"/>
                      <w:lang w:bidi="ar"/>
                    </w:rPr>
                  </w:pPr>
                  <w:r>
                    <w:rPr>
                      <w:b/>
                      <w:bCs/>
                      <w:sz w:val="21"/>
                      <w:szCs w:val="21"/>
                      <w:lang w:bidi="ar"/>
                    </w:rPr>
                    <w:t>测点位置</w:t>
                  </w:r>
                </w:p>
              </w:tc>
              <w:tc>
                <w:tcPr>
                  <w:tcW w:w="1036" w:type="pct"/>
                  <w:gridSpan w:val="2"/>
                  <w:vAlign w:val="center"/>
                </w:tcPr>
                <w:p w14:paraId="3BA83A56">
                  <w:pPr>
                    <w:spacing w:line="340" w:lineRule="exact"/>
                    <w:ind w:firstLine="0" w:firstLineChars="0"/>
                    <w:jc w:val="center"/>
                    <w:rPr>
                      <w:b/>
                      <w:bCs/>
                      <w:sz w:val="21"/>
                      <w:szCs w:val="21"/>
                      <w:lang w:eastAsia="en-US" w:bidi="ar"/>
                    </w:rPr>
                  </w:pPr>
                  <w:r>
                    <w:rPr>
                      <w:b/>
                      <w:bCs/>
                      <w:sz w:val="21"/>
                      <w:szCs w:val="21"/>
                      <w:lang w:bidi="ar"/>
                    </w:rPr>
                    <w:t>影响贡献值</w:t>
                  </w:r>
                </w:p>
              </w:tc>
              <w:tc>
                <w:tcPr>
                  <w:tcW w:w="1131" w:type="pct"/>
                  <w:gridSpan w:val="2"/>
                  <w:vAlign w:val="center"/>
                </w:tcPr>
                <w:p w14:paraId="20070AE6">
                  <w:pPr>
                    <w:spacing w:line="340" w:lineRule="exact"/>
                    <w:ind w:firstLine="0" w:firstLineChars="0"/>
                    <w:jc w:val="center"/>
                    <w:rPr>
                      <w:b/>
                      <w:bCs/>
                      <w:sz w:val="21"/>
                      <w:szCs w:val="21"/>
                      <w:lang w:bidi="ar"/>
                    </w:rPr>
                  </w:pPr>
                  <w:r>
                    <w:rPr>
                      <w:b/>
                      <w:bCs/>
                      <w:sz w:val="21"/>
                      <w:szCs w:val="21"/>
                      <w:lang w:bidi="ar"/>
                    </w:rPr>
                    <w:t>厂界噪声最大</w:t>
                  </w:r>
                </w:p>
                <w:p w14:paraId="354850B4">
                  <w:pPr>
                    <w:spacing w:line="340" w:lineRule="exact"/>
                    <w:ind w:firstLine="0" w:firstLineChars="0"/>
                    <w:jc w:val="center"/>
                    <w:rPr>
                      <w:b/>
                      <w:bCs/>
                      <w:sz w:val="21"/>
                      <w:szCs w:val="21"/>
                      <w:lang w:bidi="ar"/>
                    </w:rPr>
                  </w:pPr>
                  <w:r>
                    <w:rPr>
                      <w:b/>
                      <w:bCs/>
                      <w:sz w:val="21"/>
                      <w:szCs w:val="21"/>
                      <w:lang w:bidi="ar"/>
                    </w:rPr>
                    <w:t>值及位置</w:t>
                  </w:r>
                </w:p>
              </w:tc>
              <w:tc>
                <w:tcPr>
                  <w:tcW w:w="767" w:type="pct"/>
                  <w:vMerge w:val="restart"/>
                  <w:vAlign w:val="center"/>
                </w:tcPr>
                <w:p w14:paraId="35F2B898">
                  <w:pPr>
                    <w:spacing w:line="340" w:lineRule="exact"/>
                    <w:ind w:firstLine="0" w:firstLineChars="0"/>
                    <w:jc w:val="center"/>
                    <w:rPr>
                      <w:b/>
                      <w:bCs/>
                      <w:sz w:val="21"/>
                      <w:szCs w:val="21"/>
                      <w:lang w:bidi="ar"/>
                    </w:rPr>
                  </w:pPr>
                  <w:r>
                    <w:rPr>
                      <w:b/>
                      <w:bCs/>
                      <w:sz w:val="21"/>
                      <w:szCs w:val="21"/>
                      <w:lang w:bidi="ar"/>
                    </w:rPr>
                    <w:t>昼间标准值</w:t>
                  </w:r>
                </w:p>
              </w:tc>
              <w:tc>
                <w:tcPr>
                  <w:tcW w:w="752" w:type="pct"/>
                  <w:vMerge w:val="restart"/>
                  <w:vAlign w:val="center"/>
                </w:tcPr>
                <w:p w14:paraId="680F84E7">
                  <w:pPr>
                    <w:spacing w:line="340" w:lineRule="exact"/>
                    <w:ind w:firstLine="0" w:firstLineChars="0"/>
                    <w:jc w:val="center"/>
                    <w:rPr>
                      <w:b/>
                      <w:bCs/>
                      <w:sz w:val="21"/>
                      <w:szCs w:val="21"/>
                      <w:lang w:bidi="ar"/>
                    </w:rPr>
                  </w:pPr>
                  <w:r>
                    <w:rPr>
                      <w:b/>
                      <w:bCs/>
                      <w:sz w:val="21"/>
                      <w:szCs w:val="21"/>
                      <w:lang w:bidi="ar"/>
                    </w:rPr>
                    <w:t>达标情况</w:t>
                  </w:r>
                </w:p>
              </w:tc>
            </w:tr>
            <w:tr w14:paraId="1AF618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2" w:hRule="atLeast"/>
                <w:jc w:val="center"/>
              </w:trPr>
              <w:tc>
                <w:tcPr>
                  <w:tcW w:w="376" w:type="pct"/>
                  <w:vMerge w:val="continue"/>
                  <w:vAlign w:val="center"/>
                </w:tcPr>
                <w:p w14:paraId="3EAFB76E">
                  <w:pPr>
                    <w:spacing w:line="340" w:lineRule="exact"/>
                    <w:ind w:firstLine="0" w:firstLineChars="0"/>
                    <w:jc w:val="center"/>
                    <w:rPr>
                      <w:b/>
                      <w:bCs/>
                      <w:sz w:val="21"/>
                      <w:szCs w:val="21"/>
                      <w:lang w:bidi="ar"/>
                    </w:rPr>
                  </w:pPr>
                </w:p>
              </w:tc>
              <w:tc>
                <w:tcPr>
                  <w:tcW w:w="936" w:type="pct"/>
                  <w:vMerge w:val="continue"/>
                  <w:vAlign w:val="center"/>
                </w:tcPr>
                <w:p w14:paraId="6DE373F4">
                  <w:pPr>
                    <w:spacing w:line="340" w:lineRule="exact"/>
                    <w:ind w:firstLine="0" w:firstLineChars="0"/>
                    <w:jc w:val="center"/>
                    <w:rPr>
                      <w:b/>
                      <w:bCs/>
                      <w:sz w:val="21"/>
                      <w:szCs w:val="21"/>
                      <w:lang w:bidi="ar"/>
                    </w:rPr>
                  </w:pPr>
                </w:p>
              </w:tc>
              <w:tc>
                <w:tcPr>
                  <w:tcW w:w="517" w:type="pct"/>
                  <w:vAlign w:val="center"/>
                </w:tcPr>
                <w:p w14:paraId="2D238C4D">
                  <w:pPr>
                    <w:spacing w:line="340" w:lineRule="exact"/>
                    <w:ind w:firstLine="0" w:firstLineChars="0"/>
                    <w:jc w:val="center"/>
                    <w:rPr>
                      <w:b/>
                      <w:bCs/>
                      <w:sz w:val="21"/>
                      <w:szCs w:val="21"/>
                      <w:lang w:bidi="ar"/>
                    </w:rPr>
                  </w:pPr>
                  <w:r>
                    <w:rPr>
                      <w:b/>
                      <w:bCs/>
                      <w:sz w:val="21"/>
                      <w:szCs w:val="21"/>
                      <w:lang w:bidi="ar"/>
                    </w:rPr>
                    <w:t>昼间</w:t>
                  </w:r>
                </w:p>
              </w:tc>
              <w:tc>
                <w:tcPr>
                  <w:tcW w:w="519" w:type="pct"/>
                  <w:vAlign w:val="center"/>
                </w:tcPr>
                <w:p w14:paraId="35582B43">
                  <w:pPr>
                    <w:spacing w:line="340" w:lineRule="exact"/>
                    <w:ind w:firstLine="0" w:firstLineChars="0"/>
                    <w:jc w:val="center"/>
                    <w:rPr>
                      <w:b/>
                      <w:bCs/>
                      <w:sz w:val="21"/>
                      <w:szCs w:val="21"/>
                      <w:lang w:bidi="ar"/>
                    </w:rPr>
                  </w:pPr>
                  <w:r>
                    <w:rPr>
                      <w:b/>
                      <w:bCs/>
                      <w:sz w:val="21"/>
                      <w:szCs w:val="21"/>
                      <w:lang w:bidi="ar"/>
                    </w:rPr>
                    <w:t>夜间</w:t>
                  </w:r>
                </w:p>
              </w:tc>
              <w:tc>
                <w:tcPr>
                  <w:tcW w:w="565" w:type="pct"/>
                  <w:vAlign w:val="center"/>
                </w:tcPr>
                <w:p w14:paraId="1A0AF701">
                  <w:pPr>
                    <w:spacing w:line="340" w:lineRule="exact"/>
                    <w:ind w:firstLine="0" w:firstLineChars="0"/>
                    <w:jc w:val="center"/>
                    <w:rPr>
                      <w:b/>
                      <w:bCs/>
                      <w:sz w:val="21"/>
                      <w:szCs w:val="21"/>
                      <w:lang w:bidi="ar"/>
                    </w:rPr>
                  </w:pPr>
                  <w:r>
                    <w:rPr>
                      <w:b/>
                      <w:bCs/>
                      <w:sz w:val="21"/>
                      <w:szCs w:val="21"/>
                      <w:lang w:bidi="ar"/>
                    </w:rPr>
                    <w:t>昼间</w:t>
                  </w:r>
                </w:p>
              </w:tc>
              <w:tc>
                <w:tcPr>
                  <w:tcW w:w="566" w:type="pct"/>
                  <w:vAlign w:val="center"/>
                </w:tcPr>
                <w:p w14:paraId="48577A62">
                  <w:pPr>
                    <w:spacing w:line="340" w:lineRule="exact"/>
                    <w:ind w:firstLine="0" w:firstLineChars="0"/>
                    <w:jc w:val="center"/>
                    <w:rPr>
                      <w:b/>
                      <w:bCs/>
                      <w:sz w:val="21"/>
                      <w:szCs w:val="21"/>
                      <w:lang w:bidi="ar"/>
                    </w:rPr>
                  </w:pPr>
                  <w:r>
                    <w:rPr>
                      <w:b/>
                      <w:bCs/>
                      <w:sz w:val="21"/>
                      <w:szCs w:val="21"/>
                      <w:lang w:bidi="ar"/>
                    </w:rPr>
                    <w:t>夜间</w:t>
                  </w:r>
                </w:p>
              </w:tc>
              <w:tc>
                <w:tcPr>
                  <w:tcW w:w="767" w:type="pct"/>
                  <w:vMerge w:val="continue"/>
                  <w:vAlign w:val="center"/>
                </w:tcPr>
                <w:p w14:paraId="79FCB174">
                  <w:pPr>
                    <w:spacing w:line="340" w:lineRule="exact"/>
                    <w:ind w:firstLine="0" w:firstLineChars="0"/>
                    <w:jc w:val="center"/>
                    <w:rPr>
                      <w:b/>
                      <w:bCs/>
                      <w:sz w:val="21"/>
                      <w:szCs w:val="21"/>
                      <w:lang w:bidi="ar"/>
                    </w:rPr>
                  </w:pPr>
                </w:p>
              </w:tc>
              <w:tc>
                <w:tcPr>
                  <w:tcW w:w="752" w:type="pct"/>
                  <w:vMerge w:val="continue"/>
                  <w:vAlign w:val="center"/>
                </w:tcPr>
                <w:p w14:paraId="37C7162E">
                  <w:pPr>
                    <w:spacing w:line="340" w:lineRule="exact"/>
                    <w:ind w:firstLine="0" w:firstLineChars="0"/>
                    <w:jc w:val="center"/>
                    <w:rPr>
                      <w:sz w:val="21"/>
                      <w:szCs w:val="21"/>
                      <w:lang w:bidi="ar"/>
                    </w:rPr>
                  </w:pPr>
                </w:p>
              </w:tc>
            </w:tr>
            <w:tr w14:paraId="5777CA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376" w:type="pct"/>
                  <w:vAlign w:val="center"/>
                </w:tcPr>
                <w:p w14:paraId="763EF7BC">
                  <w:pPr>
                    <w:spacing w:line="340" w:lineRule="exact"/>
                    <w:ind w:firstLine="0" w:firstLineChars="0"/>
                    <w:jc w:val="center"/>
                    <w:rPr>
                      <w:sz w:val="21"/>
                      <w:szCs w:val="21"/>
                      <w:lang w:bidi="ar"/>
                    </w:rPr>
                  </w:pPr>
                  <w:r>
                    <w:rPr>
                      <w:sz w:val="21"/>
                      <w:szCs w:val="21"/>
                      <w:lang w:bidi="ar"/>
                    </w:rPr>
                    <w:t>1</w:t>
                  </w:r>
                </w:p>
              </w:tc>
              <w:tc>
                <w:tcPr>
                  <w:tcW w:w="936" w:type="pct"/>
                  <w:vAlign w:val="center"/>
                </w:tcPr>
                <w:p w14:paraId="6A8710CC">
                  <w:pPr>
                    <w:spacing w:line="340" w:lineRule="exact"/>
                    <w:ind w:firstLine="0" w:firstLineChars="0"/>
                    <w:jc w:val="center"/>
                    <w:rPr>
                      <w:sz w:val="21"/>
                      <w:szCs w:val="21"/>
                      <w:lang w:bidi="ar"/>
                    </w:rPr>
                  </w:pPr>
                  <w:r>
                    <w:rPr>
                      <w:sz w:val="21"/>
                      <w:szCs w:val="21"/>
                      <w:lang w:bidi="ar"/>
                    </w:rPr>
                    <w:t>东侧厂界</w:t>
                  </w:r>
                </w:p>
              </w:tc>
              <w:tc>
                <w:tcPr>
                  <w:tcW w:w="517" w:type="pct"/>
                  <w:vAlign w:val="center"/>
                </w:tcPr>
                <w:p w14:paraId="192CA999">
                  <w:pPr>
                    <w:spacing w:line="340" w:lineRule="exact"/>
                    <w:ind w:firstLine="0" w:firstLineChars="0"/>
                    <w:jc w:val="center"/>
                    <w:rPr>
                      <w:sz w:val="21"/>
                      <w:szCs w:val="21"/>
                      <w:lang w:bidi="ar"/>
                    </w:rPr>
                  </w:pPr>
                  <w:r>
                    <w:rPr>
                      <w:sz w:val="21"/>
                      <w:szCs w:val="21"/>
                      <w:lang w:bidi="ar"/>
                    </w:rPr>
                    <w:t>5</w:t>
                  </w:r>
                  <w:r>
                    <w:rPr>
                      <w:rFonts w:hint="eastAsia"/>
                      <w:sz w:val="21"/>
                      <w:szCs w:val="21"/>
                      <w:lang w:bidi="ar"/>
                    </w:rPr>
                    <w:t>7</w:t>
                  </w:r>
                  <w:r>
                    <w:rPr>
                      <w:sz w:val="21"/>
                      <w:szCs w:val="21"/>
                      <w:lang w:bidi="ar"/>
                    </w:rPr>
                    <w:t>.6</w:t>
                  </w:r>
                </w:p>
              </w:tc>
              <w:tc>
                <w:tcPr>
                  <w:tcW w:w="519" w:type="pct"/>
                  <w:vMerge w:val="restart"/>
                  <w:vAlign w:val="center"/>
                </w:tcPr>
                <w:p w14:paraId="7DE54635">
                  <w:pPr>
                    <w:spacing w:line="340" w:lineRule="exact"/>
                    <w:ind w:firstLine="0" w:firstLineChars="0"/>
                    <w:jc w:val="center"/>
                    <w:rPr>
                      <w:sz w:val="21"/>
                      <w:szCs w:val="21"/>
                      <w:lang w:bidi="ar"/>
                    </w:rPr>
                  </w:pPr>
                  <w:r>
                    <w:rPr>
                      <w:rFonts w:hint="eastAsia"/>
                      <w:sz w:val="21"/>
                      <w:szCs w:val="21"/>
                      <w:lang w:bidi="ar"/>
                    </w:rPr>
                    <w:t>不生产</w:t>
                  </w:r>
                </w:p>
              </w:tc>
              <w:tc>
                <w:tcPr>
                  <w:tcW w:w="565" w:type="pct"/>
                  <w:vMerge w:val="restart"/>
                  <w:vAlign w:val="center"/>
                </w:tcPr>
                <w:p w14:paraId="29F4ED58">
                  <w:pPr>
                    <w:spacing w:line="340" w:lineRule="exact"/>
                    <w:ind w:firstLine="0" w:firstLineChars="0"/>
                    <w:jc w:val="center"/>
                    <w:rPr>
                      <w:sz w:val="21"/>
                      <w:szCs w:val="21"/>
                      <w:lang w:bidi="ar"/>
                    </w:rPr>
                  </w:pPr>
                  <w:r>
                    <w:rPr>
                      <w:sz w:val="21"/>
                      <w:szCs w:val="21"/>
                      <w:lang w:bidi="ar"/>
                    </w:rPr>
                    <w:t>北侧</w:t>
                  </w:r>
                </w:p>
                <w:p w14:paraId="32420DE5">
                  <w:pPr>
                    <w:spacing w:line="340" w:lineRule="exact"/>
                    <w:ind w:firstLine="0" w:firstLineChars="0"/>
                    <w:jc w:val="center"/>
                    <w:rPr>
                      <w:sz w:val="21"/>
                      <w:szCs w:val="21"/>
                      <w:lang w:bidi="ar"/>
                    </w:rPr>
                  </w:pPr>
                  <w:r>
                    <w:rPr>
                      <w:sz w:val="21"/>
                      <w:szCs w:val="21"/>
                      <w:lang w:bidi="ar"/>
                    </w:rPr>
                    <w:t>厂界</w:t>
                  </w:r>
                </w:p>
                <w:p w14:paraId="5547C21B">
                  <w:pPr>
                    <w:spacing w:line="340" w:lineRule="exact"/>
                    <w:ind w:firstLine="0" w:firstLineChars="0"/>
                    <w:jc w:val="center"/>
                    <w:rPr>
                      <w:sz w:val="21"/>
                      <w:szCs w:val="21"/>
                      <w:lang w:bidi="ar"/>
                    </w:rPr>
                  </w:pPr>
                  <w:r>
                    <w:rPr>
                      <w:sz w:val="21"/>
                      <w:szCs w:val="21"/>
                      <w:lang w:bidi="ar"/>
                    </w:rPr>
                    <w:t>5</w:t>
                  </w:r>
                  <w:r>
                    <w:rPr>
                      <w:rFonts w:hint="eastAsia"/>
                      <w:sz w:val="21"/>
                      <w:szCs w:val="21"/>
                      <w:lang w:bidi="ar"/>
                    </w:rPr>
                    <w:t>7</w:t>
                  </w:r>
                  <w:r>
                    <w:rPr>
                      <w:sz w:val="21"/>
                      <w:szCs w:val="21"/>
                      <w:lang w:bidi="ar"/>
                    </w:rPr>
                    <w:t>.9</w:t>
                  </w:r>
                </w:p>
              </w:tc>
              <w:tc>
                <w:tcPr>
                  <w:tcW w:w="566" w:type="pct"/>
                  <w:vMerge w:val="restart"/>
                  <w:vAlign w:val="center"/>
                </w:tcPr>
                <w:p w14:paraId="315F7F45">
                  <w:pPr>
                    <w:spacing w:line="340" w:lineRule="exact"/>
                    <w:ind w:firstLine="0" w:firstLineChars="0"/>
                    <w:jc w:val="center"/>
                    <w:rPr>
                      <w:sz w:val="21"/>
                      <w:szCs w:val="21"/>
                      <w:lang w:bidi="ar"/>
                    </w:rPr>
                  </w:pPr>
                  <w:r>
                    <w:rPr>
                      <w:rFonts w:hint="eastAsia"/>
                      <w:sz w:val="21"/>
                      <w:szCs w:val="21"/>
                      <w:lang w:bidi="ar"/>
                    </w:rPr>
                    <w:t>不生产</w:t>
                  </w:r>
                </w:p>
              </w:tc>
              <w:tc>
                <w:tcPr>
                  <w:tcW w:w="767" w:type="pct"/>
                  <w:vMerge w:val="restart"/>
                  <w:vAlign w:val="center"/>
                </w:tcPr>
                <w:p w14:paraId="2DB52121">
                  <w:pPr>
                    <w:spacing w:line="340" w:lineRule="exact"/>
                    <w:ind w:firstLine="0" w:firstLineChars="0"/>
                    <w:jc w:val="center"/>
                    <w:rPr>
                      <w:sz w:val="21"/>
                      <w:szCs w:val="21"/>
                      <w:lang w:bidi="ar"/>
                    </w:rPr>
                  </w:pPr>
                  <w:r>
                    <w:rPr>
                      <w:rFonts w:hint="eastAsia"/>
                      <w:sz w:val="21"/>
                      <w:szCs w:val="21"/>
                      <w:lang w:bidi="ar"/>
                    </w:rPr>
                    <w:t>65</w:t>
                  </w:r>
                </w:p>
              </w:tc>
              <w:tc>
                <w:tcPr>
                  <w:tcW w:w="752" w:type="pct"/>
                  <w:vAlign w:val="center"/>
                </w:tcPr>
                <w:p w14:paraId="695F54DA">
                  <w:pPr>
                    <w:spacing w:line="340" w:lineRule="exact"/>
                    <w:ind w:firstLine="0" w:firstLineChars="0"/>
                    <w:jc w:val="center"/>
                    <w:rPr>
                      <w:sz w:val="21"/>
                      <w:szCs w:val="21"/>
                      <w:lang w:bidi="ar"/>
                    </w:rPr>
                  </w:pPr>
                  <w:r>
                    <w:rPr>
                      <w:sz w:val="21"/>
                      <w:szCs w:val="21"/>
                      <w:lang w:bidi="ar"/>
                    </w:rPr>
                    <w:t>达标</w:t>
                  </w:r>
                </w:p>
              </w:tc>
            </w:tr>
            <w:tr w14:paraId="494186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376" w:type="pct"/>
                  <w:vAlign w:val="center"/>
                </w:tcPr>
                <w:p w14:paraId="398DA229">
                  <w:pPr>
                    <w:spacing w:line="340" w:lineRule="exact"/>
                    <w:ind w:firstLine="0" w:firstLineChars="0"/>
                    <w:jc w:val="center"/>
                    <w:rPr>
                      <w:sz w:val="21"/>
                      <w:szCs w:val="21"/>
                      <w:lang w:bidi="ar"/>
                    </w:rPr>
                  </w:pPr>
                  <w:r>
                    <w:rPr>
                      <w:sz w:val="21"/>
                      <w:szCs w:val="21"/>
                      <w:lang w:bidi="ar"/>
                    </w:rPr>
                    <w:t>2</w:t>
                  </w:r>
                </w:p>
              </w:tc>
              <w:tc>
                <w:tcPr>
                  <w:tcW w:w="936" w:type="pct"/>
                  <w:vAlign w:val="center"/>
                </w:tcPr>
                <w:p w14:paraId="32C78200">
                  <w:pPr>
                    <w:spacing w:line="340" w:lineRule="exact"/>
                    <w:ind w:firstLine="0" w:firstLineChars="0"/>
                    <w:jc w:val="center"/>
                    <w:rPr>
                      <w:sz w:val="21"/>
                      <w:szCs w:val="21"/>
                      <w:lang w:bidi="ar"/>
                    </w:rPr>
                  </w:pPr>
                  <w:r>
                    <w:rPr>
                      <w:rFonts w:hint="eastAsia"/>
                      <w:sz w:val="21"/>
                      <w:szCs w:val="21"/>
                      <w:lang w:bidi="ar"/>
                    </w:rPr>
                    <w:t>北</w:t>
                  </w:r>
                  <w:r>
                    <w:rPr>
                      <w:sz w:val="21"/>
                      <w:szCs w:val="21"/>
                      <w:lang w:bidi="ar"/>
                    </w:rPr>
                    <w:t>侧厂界</w:t>
                  </w:r>
                </w:p>
              </w:tc>
              <w:tc>
                <w:tcPr>
                  <w:tcW w:w="517" w:type="pct"/>
                  <w:vAlign w:val="center"/>
                </w:tcPr>
                <w:p w14:paraId="466011D2">
                  <w:pPr>
                    <w:spacing w:line="340" w:lineRule="exact"/>
                    <w:ind w:firstLine="0" w:firstLineChars="0"/>
                    <w:jc w:val="center"/>
                    <w:rPr>
                      <w:sz w:val="21"/>
                      <w:szCs w:val="21"/>
                      <w:lang w:bidi="ar"/>
                    </w:rPr>
                  </w:pPr>
                  <w:r>
                    <w:rPr>
                      <w:sz w:val="21"/>
                      <w:szCs w:val="21"/>
                      <w:lang w:bidi="ar"/>
                    </w:rPr>
                    <w:t>5</w:t>
                  </w:r>
                  <w:r>
                    <w:rPr>
                      <w:rFonts w:hint="eastAsia"/>
                      <w:sz w:val="21"/>
                      <w:szCs w:val="21"/>
                      <w:lang w:bidi="ar"/>
                    </w:rPr>
                    <w:t>7</w:t>
                  </w:r>
                  <w:r>
                    <w:rPr>
                      <w:sz w:val="21"/>
                      <w:szCs w:val="21"/>
                      <w:lang w:bidi="ar"/>
                    </w:rPr>
                    <w:t>.9</w:t>
                  </w:r>
                </w:p>
              </w:tc>
              <w:tc>
                <w:tcPr>
                  <w:tcW w:w="519" w:type="pct"/>
                  <w:vMerge w:val="continue"/>
                  <w:vAlign w:val="center"/>
                </w:tcPr>
                <w:p w14:paraId="02E1D77C">
                  <w:pPr>
                    <w:spacing w:line="340" w:lineRule="exact"/>
                    <w:ind w:firstLine="0" w:firstLineChars="0"/>
                    <w:jc w:val="center"/>
                    <w:rPr>
                      <w:sz w:val="21"/>
                      <w:szCs w:val="21"/>
                      <w:lang w:bidi="ar"/>
                    </w:rPr>
                  </w:pPr>
                </w:p>
              </w:tc>
              <w:tc>
                <w:tcPr>
                  <w:tcW w:w="565" w:type="pct"/>
                  <w:vMerge w:val="continue"/>
                  <w:vAlign w:val="center"/>
                </w:tcPr>
                <w:p w14:paraId="54797F23">
                  <w:pPr>
                    <w:spacing w:line="340" w:lineRule="exact"/>
                    <w:ind w:firstLine="0" w:firstLineChars="0"/>
                    <w:jc w:val="center"/>
                    <w:rPr>
                      <w:sz w:val="21"/>
                      <w:szCs w:val="21"/>
                      <w:lang w:bidi="ar"/>
                    </w:rPr>
                  </w:pPr>
                </w:p>
              </w:tc>
              <w:tc>
                <w:tcPr>
                  <w:tcW w:w="566" w:type="pct"/>
                  <w:vMerge w:val="continue"/>
                  <w:vAlign w:val="center"/>
                </w:tcPr>
                <w:p w14:paraId="6CD7953D">
                  <w:pPr>
                    <w:spacing w:line="340" w:lineRule="exact"/>
                    <w:ind w:firstLine="0" w:firstLineChars="0"/>
                    <w:jc w:val="center"/>
                    <w:rPr>
                      <w:sz w:val="21"/>
                      <w:szCs w:val="21"/>
                      <w:lang w:bidi="ar"/>
                    </w:rPr>
                  </w:pPr>
                </w:p>
              </w:tc>
              <w:tc>
                <w:tcPr>
                  <w:tcW w:w="767" w:type="pct"/>
                  <w:vMerge w:val="continue"/>
                  <w:vAlign w:val="center"/>
                </w:tcPr>
                <w:p w14:paraId="0E938527">
                  <w:pPr>
                    <w:spacing w:line="340" w:lineRule="exact"/>
                    <w:ind w:firstLine="0" w:firstLineChars="0"/>
                    <w:jc w:val="center"/>
                    <w:rPr>
                      <w:sz w:val="21"/>
                      <w:szCs w:val="21"/>
                      <w:lang w:bidi="ar"/>
                    </w:rPr>
                  </w:pPr>
                </w:p>
              </w:tc>
              <w:tc>
                <w:tcPr>
                  <w:tcW w:w="752" w:type="pct"/>
                  <w:vAlign w:val="center"/>
                </w:tcPr>
                <w:p w14:paraId="31B4A2DC">
                  <w:pPr>
                    <w:spacing w:line="340" w:lineRule="exact"/>
                    <w:ind w:firstLine="0" w:firstLineChars="0"/>
                    <w:jc w:val="center"/>
                    <w:rPr>
                      <w:sz w:val="21"/>
                      <w:szCs w:val="21"/>
                      <w:lang w:bidi="ar"/>
                    </w:rPr>
                  </w:pPr>
                  <w:r>
                    <w:rPr>
                      <w:sz w:val="21"/>
                      <w:szCs w:val="21"/>
                      <w:lang w:bidi="ar"/>
                    </w:rPr>
                    <w:t>达标</w:t>
                  </w:r>
                </w:p>
              </w:tc>
            </w:tr>
            <w:tr w14:paraId="7480F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376" w:type="pct"/>
                  <w:vAlign w:val="center"/>
                </w:tcPr>
                <w:p w14:paraId="21B9E7CB">
                  <w:pPr>
                    <w:spacing w:line="340" w:lineRule="exact"/>
                    <w:ind w:firstLine="0" w:firstLineChars="0"/>
                    <w:jc w:val="center"/>
                    <w:rPr>
                      <w:sz w:val="21"/>
                      <w:szCs w:val="21"/>
                      <w:lang w:bidi="ar"/>
                    </w:rPr>
                  </w:pPr>
                  <w:r>
                    <w:rPr>
                      <w:rFonts w:hint="eastAsia"/>
                      <w:sz w:val="21"/>
                      <w:szCs w:val="21"/>
                      <w:lang w:bidi="ar"/>
                    </w:rPr>
                    <w:t>3</w:t>
                  </w:r>
                </w:p>
              </w:tc>
              <w:tc>
                <w:tcPr>
                  <w:tcW w:w="936" w:type="pct"/>
                  <w:vAlign w:val="center"/>
                </w:tcPr>
                <w:p w14:paraId="3A2815E3">
                  <w:pPr>
                    <w:spacing w:line="340" w:lineRule="exact"/>
                    <w:ind w:firstLine="0" w:firstLineChars="0"/>
                    <w:jc w:val="center"/>
                    <w:rPr>
                      <w:sz w:val="21"/>
                      <w:szCs w:val="21"/>
                      <w:lang w:bidi="ar"/>
                    </w:rPr>
                  </w:pPr>
                  <w:r>
                    <w:rPr>
                      <w:rFonts w:hint="eastAsia"/>
                      <w:sz w:val="21"/>
                      <w:szCs w:val="21"/>
                      <w:lang w:bidi="ar"/>
                    </w:rPr>
                    <w:t>西侧厂界</w:t>
                  </w:r>
                </w:p>
              </w:tc>
              <w:tc>
                <w:tcPr>
                  <w:tcW w:w="517" w:type="pct"/>
                  <w:vAlign w:val="center"/>
                </w:tcPr>
                <w:p w14:paraId="10F83F20">
                  <w:pPr>
                    <w:spacing w:line="340" w:lineRule="exact"/>
                    <w:ind w:firstLine="0" w:firstLineChars="0"/>
                    <w:jc w:val="center"/>
                    <w:rPr>
                      <w:sz w:val="21"/>
                      <w:szCs w:val="21"/>
                      <w:lang w:bidi="ar"/>
                    </w:rPr>
                  </w:pPr>
                  <w:r>
                    <w:rPr>
                      <w:sz w:val="21"/>
                      <w:szCs w:val="21"/>
                      <w:lang w:bidi="ar"/>
                    </w:rPr>
                    <w:t>5</w:t>
                  </w:r>
                  <w:r>
                    <w:rPr>
                      <w:rFonts w:hint="eastAsia"/>
                      <w:sz w:val="21"/>
                      <w:szCs w:val="21"/>
                      <w:lang w:bidi="ar"/>
                    </w:rPr>
                    <w:t>6</w:t>
                  </w:r>
                  <w:r>
                    <w:rPr>
                      <w:sz w:val="21"/>
                      <w:szCs w:val="21"/>
                      <w:lang w:bidi="ar"/>
                    </w:rPr>
                    <w:t>.6</w:t>
                  </w:r>
                </w:p>
              </w:tc>
              <w:tc>
                <w:tcPr>
                  <w:tcW w:w="519" w:type="pct"/>
                  <w:vMerge w:val="continue"/>
                  <w:vAlign w:val="center"/>
                </w:tcPr>
                <w:p w14:paraId="3C48913D">
                  <w:pPr>
                    <w:spacing w:line="340" w:lineRule="exact"/>
                    <w:ind w:firstLine="0" w:firstLineChars="0"/>
                    <w:jc w:val="center"/>
                    <w:rPr>
                      <w:sz w:val="21"/>
                      <w:szCs w:val="21"/>
                      <w:lang w:bidi="ar"/>
                    </w:rPr>
                  </w:pPr>
                </w:p>
              </w:tc>
              <w:tc>
                <w:tcPr>
                  <w:tcW w:w="565" w:type="pct"/>
                  <w:vMerge w:val="continue"/>
                  <w:vAlign w:val="center"/>
                </w:tcPr>
                <w:p w14:paraId="39CEF8C5">
                  <w:pPr>
                    <w:spacing w:line="340" w:lineRule="exact"/>
                    <w:ind w:firstLine="0" w:firstLineChars="0"/>
                    <w:jc w:val="center"/>
                    <w:rPr>
                      <w:sz w:val="21"/>
                      <w:szCs w:val="21"/>
                      <w:lang w:bidi="ar"/>
                    </w:rPr>
                  </w:pPr>
                </w:p>
              </w:tc>
              <w:tc>
                <w:tcPr>
                  <w:tcW w:w="566" w:type="pct"/>
                  <w:vMerge w:val="continue"/>
                  <w:vAlign w:val="center"/>
                </w:tcPr>
                <w:p w14:paraId="3C63DAF8">
                  <w:pPr>
                    <w:spacing w:line="340" w:lineRule="exact"/>
                    <w:ind w:firstLine="0" w:firstLineChars="0"/>
                    <w:jc w:val="center"/>
                    <w:rPr>
                      <w:sz w:val="21"/>
                      <w:szCs w:val="21"/>
                      <w:lang w:bidi="ar"/>
                    </w:rPr>
                  </w:pPr>
                </w:p>
              </w:tc>
              <w:tc>
                <w:tcPr>
                  <w:tcW w:w="767" w:type="pct"/>
                  <w:vMerge w:val="continue"/>
                  <w:vAlign w:val="center"/>
                </w:tcPr>
                <w:p w14:paraId="033108AD">
                  <w:pPr>
                    <w:spacing w:line="340" w:lineRule="exact"/>
                    <w:ind w:firstLine="0" w:firstLineChars="0"/>
                    <w:jc w:val="center"/>
                    <w:rPr>
                      <w:sz w:val="21"/>
                      <w:szCs w:val="21"/>
                      <w:lang w:bidi="ar"/>
                    </w:rPr>
                  </w:pPr>
                </w:p>
              </w:tc>
              <w:tc>
                <w:tcPr>
                  <w:tcW w:w="752" w:type="pct"/>
                  <w:vAlign w:val="center"/>
                </w:tcPr>
                <w:p w14:paraId="0A5063DA">
                  <w:pPr>
                    <w:spacing w:line="340" w:lineRule="exact"/>
                    <w:ind w:firstLine="0" w:firstLineChars="0"/>
                    <w:jc w:val="center"/>
                    <w:rPr>
                      <w:sz w:val="21"/>
                      <w:szCs w:val="21"/>
                      <w:lang w:bidi="ar"/>
                    </w:rPr>
                  </w:pPr>
                  <w:r>
                    <w:rPr>
                      <w:sz w:val="21"/>
                      <w:szCs w:val="21"/>
                      <w:lang w:bidi="ar"/>
                    </w:rPr>
                    <w:t>达标</w:t>
                  </w:r>
                </w:p>
              </w:tc>
            </w:tr>
            <w:tr w14:paraId="19BA9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376" w:type="pct"/>
                  <w:vAlign w:val="center"/>
                </w:tcPr>
                <w:p w14:paraId="59368234">
                  <w:pPr>
                    <w:spacing w:line="340" w:lineRule="exact"/>
                    <w:ind w:firstLine="0" w:firstLineChars="0"/>
                    <w:jc w:val="center"/>
                    <w:rPr>
                      <w:sz w:val="21"/>
                      <w:szCs w:val="21"/>
                      <w:lang w:bidi="ar"/>
                    </w:rPr>
                  </w:pPr>
                  <w:r>
                    <w:rPr>
                      <w:rFonts w:hint="eastAsia"/>
                      <w:sz w:val="21"/>
                      <w:szCs w:val="21"/>
                      <w:lang w:bidi="ar"/>
                    </w:rPr>
                    <w:t>4</w:t>
                  </w:r>
                </w:p>
              </w:tc>
              <w:tc>
                <w:tcPr>
                  <w:tcW w:w="936" w:type="pct"/>
                  <w:vAlign w:val="center"/>
                </w:tcPr>
                <w:p w14:paraId="5B78A7AE">
                  <w:pPr>
                    <w:spacing w:line="340" w:lineRule="exact"/>
                    <w:ind w:firstLine="0" w:firstLineChars="0"/>
                    <w:jc w:val="center"/>
                    <w:rPr>
                      <w:sz w:val="21"/>
                      <w:szCs w:val="21"/>
                      <w:lang w:bidi="ar"/>
                    </w:rPr>
                  </w:pPr>
                  <w:r>
                    <w:rPr>
                      <w:rFonts w:hint="eastAsia"/>
                      <w:sz w:val="21"/>
                      <w:szCs w:val="21"/>
                      <w:lang w:bidi="ar"/>
                    </w:rPr>
                    <w:t>南侧厂界</w:t>
                  </w:r>
                </w:p>
              </w:tc>
              <w:tc>
                <w:tcPr>
                  <w:tcW w:w="517" w:type="pct"/>
                  <w:vAlign w:val="center"/>
                </w:tcPr>
                <w:p w14:paraId="0BE279C0">
                  <w:pPr>
                    <w:spacing w:line="340" w:lineRule="exact"/>
                    <w:ind w:firstLine="0" w:firstLineChars="0"/>
                    <w:jc w:val="center"/>
                    <w:rPr>
                      <w:sz w:val="21"/>
                      <w:szCs w:val="21"/>
                      <w:lang w:bidi="ar"/>
                    </w:rPr>
                  </w:pPr>
                  <w:r>
                    <w:rPr>
                      <w:sz w:val="21"/>
                      <w:szCs w:val="21"/>
                      <w:lang w:bidi="ar"/>
                    </w:rPr>
                    <w:t>5</w:t>
                  </w:r>
                  <w:r>
                    <w:rPr>
                      <w:rFonts w:hint="eastAsia"/>
                      <w:sz w:val="21"/>
                      <w:szCs w:val="21"/>
                      <w:lang w:bidi="ar"/>
                    </w:rPr>
                    <w:t>7</w:t>
                  </w:r>
                  <w:r>
                    <w:rPr>
                      <w:sz w:val="21"/>
                      <w:szCs w:val="21"/>
                      <w:lang w:bidi="ar"/>
                    </w:rPr>
                    <w:t>.6</w:t>
                  </w:r>
                </w:p>
              </w:tc>
              <w:tc>
                <w:tcPr>
                  <w:tcW w:w="519" w:type="pct"/>
                  <w:vMerge w:val="continue"/>
                  <w:vAlign w:val="center"/>
                </w:tcPr>
                <w:p w14:paraId="12AF8A85">
                  <w:pPr>
                    <w:spacing w:line="340" w:lineRule="exact"/>
                    <w:ind w:firstLine="0" w:firstLineChars="0"/>
                    <w:jc w:val="center"/>
                    <w:rPr>
                      <w:sz w:val="21"/>
                      <w:szCs w:val="21"/>
                      <w:lang w:bidi="ar"/>
                    </w:rPr>
                  </w:pPr>
                </w:p>
              </w:tc>
              <w:tc>
                <w:tcPr>
                  <w:tcW w:w="565" w:type="pct"/>
                  <w:vMerge w:val="continue"/>
                  <w:vAlign w:val="center"/>
                </w:tcPr>
                <w:p w14:paraId="61AC694E">
                  <w:pPr>
                    <w:spacing w:line="340" w:lineRule="exact"/>
                    <w:ind w:firstLine="0" w:firstLineChars="0"/>
                    <w:jc w:val="center"/>
                    <w:rPr>
                      <w:sz w:val="21"/>
                      <w:szCs w:val="21"/>
                      <w:lang w:bidi="ar"/>
                    </w:rPr>
                  </w:pPr>
                </w:p>
              </w:tc>
              <w:tc>
                <w:tcPr>
                  <w:tcW w:w="566" w:type="pct"/>
                  <w:vMerge w:val="continue"/>
                  <w:vAlign w:val="center"/>
                </w:tcPr>
                <w:p w14:paraId="20FB67DA">
                  <w:pPr>
                    <w:spacing w:line="340" w:lineRule="exact"/>
                    <w:ind w:firstLine="0" w:firstLineChars="0"/>
                    <w:jc w:val="center"/>
                    <w:rPr>
                      <w:sz w:val="21"/>
                      <w:szCs w:val="21"/>
                      <w:lang w:bidi="ar"/>
                    </w:rPr>
                  </w:pPr>
                </w:p>
              </w:tc>
              <w:tc>
                <w:tcPr>
                  <w:tcW w:w="767" w:type="pct"/>
                  <w:vMerge w:val="continue"/>
                  <w:vAlign w:val="center"/>
                </w:tcPr>
                <w:p w14:paraId="72FE567D">
                  <w:pPr>
                    <w:spacing w:line="340" w:lineRule="exact"/>
                    <w:ind w:firstLine="0" w:firstLineChars="0"/>
                    <w:jc w:val="center"/>
                    <w:rPr>
                      <w:sz w:val="21"/>
                      <w:szCs w:val="21"/>
                      <w:lang w:bidi="ar"/>
                    </w:rPr>
                  </w:pPr>
                </w:p>
              </w:tc>
              <w:tc>
                <w:tcPr>
                  <w:tcW w:w="752" w:type="pct"/>
                  <w:vAlign w:val="center"/>
                </w:tcPr>
                <w:p w14:paraId="10EA2058">
                  <w:pPr>
                    <w:spacing w:line="340" w:lineRule="exact"/>
                    <w:ind w:firstLine="0" w:firstLineChars="0"/>
                    <w:jc w:val="center"/>
                    <w:rPr>
                      <w:sz w:val="21"/>
                      <w:szCs w:val="21"/>
                      <w:lang w:bidi="ar"/>
                    </w:rPr>
                  </w:pPr>
                  <w:r>
                    <w:rPr>
                      <w:sz w:val="21"/>
                      <w:szCs w:val="21"/>
                      <w:lang w:bidi="ar"/>
                    </w:rPr>
                    <w:t>达标</w:t>
                  </w:r>
                </w:p>
              </w:tc>
            </w:tr>
          </w:tbl>
          <w:p w14:paraId="51920A7E">
            <w:pPr>
              <w:ind w:firstLine="480"/>
            </w:pPr>
            <w:r>
              <w:rPr>
                <w:rFonts w:hint="eastAsia"/>
              </w:rPr>
              <w:t>厂界达标分析：根据表4.2-5预测结果表明，项目主要噪声源在采取有效的降噪措施前提下，项目厂界噪声均可满足《工业企业厂界环境噪声排放标准》 （GB12348-2008）中3类标准。</w:t>
            </w:r>
          </w:p>
          <w:p w14:paraId="7D27A8B6">
            <w:pPr>
              <w:keepNext/>
              <w:keepLines/>
              <w:ind w:firstLine="0" w:firstLineChars="0"/>
              <w:jc w:val="left"/>
              <w:outlineLvl w:val="3"/>
              <w:rPr>
                <w:b/>
                <w:bCs/>
                <w:szCs w:val="28"/>
              </w:rPr>
            </w:pPr>
            <w:r>
              <w:rPr>
                <w:b/>
                <w:bCs/>
                <w:szCs w:val="28"/>
              </w:rPr>
              <w:t>4.</w:t>
            </w:r>
            <w:r>
              <w:rPr>
                <w:rFonts w:hint="eastAsia"/>
                <w:b/>
                <w:bCs/>
                <w:szCs w:val="28"/>
              </w:rPr>
              <w:t>2.4.3</w:t>
            </w:r>
            <w:r>
              <w:rPr>
                <w:b/>
                <w:bCs/>
                <w:szCs w:val="28"/>
              </w:rPr>
              <w:t xml:space="preserve"> 运营期噪声</w:t>
            </w:r>
            <w:r>
              <w:rPr>
                <w:rFonts w:hint="eastAsia"/>
                <w:b/>
                <w:bCs/>
                <w:szCs w:val="28"/>
              </w:rPr>
              <w:t>控制</w:t>
            </w:r>
            <w:r>
              <w:rPr>
                <w:b/>
                <w:bCs/>
                <w:szCs w:val="28"/>
              </w:rPr>
              <w:t>措施</w:t>
            </w:r>
          </w:p>
          <w:p w14:paraId="75FAE6C7">
            <w:pPr>
              <w:ind w:firstLine="480"/>
            </w:pPr>
            <w:r>
              <w:rPr>
                <w:rFonts w:hint="eastAsia"/>
              </w:rPr>
              <w:t>为了确保厂界噪声达到《工业企业厂界环境噪声排放标准》（GB 12348-2008）中3类标准，本报告建议采用以下降噪措施：</w:t>
            </w:r>
          </w:p>
          <w:p w14:paraId="070C466E">
            <w:pPr>
              <w:ind w:firstLine="480"/>
            </w:pPr>
            <w:r>
              <w:rPr>
                <w:rFonts w:hint="eastAsia"/>
              </w:rPr>
              <w:t>（1）项目选用低噪声生产设备，从源头上降低噪声源强。</w:t>
            </w:r>
          </w:p>
          <w:p w14:paraId="77B4C7EC">
            <w:pPr>
              <w:ind w:firstLine="480"/>
            </w:pPr>
            <w:r>
              <w:rPr>
                <w:rFonts w:hint="eastAsia"/>
              </w:rPr>
              <w:t>（2）加强车间内的噪声治理，对厂区高噪声设备采用隔声、消声、吸声、减振等有效措施，以有效降低车间噪声。</w:t>
            </w:r>
          </w:p>
          <w:p w14:paraId="3FE87F4B">
            <w:pPr>
              <w:ind w:firstLine="480"/>
            </w:pPr>
            <w:r>
              <w:rPr>
                <w:rFonts w:hint="eastAsia"/>
              </w:rPr>
              <w:t>（3）加强对设备的管理和维护，在有关环保人员的统一管理下，定期检查、监测，发现噪声超标要及时治理并增加相关操作岗位工人的个体防护</w:t>
            </w:r>
          </w:p>
          <w:p w14:paraId="565E020A">
            <w:pPr>
              <w:ind w:firstLine="480"/>
            </w:pPr>
            <w:r>
              <w:rPr>
                <w:rFonts w:hint="eastAsia"/>
              </w:rPr>
              <w:t>（4）车辆运输物料时，在靠近居民点等对声环境质量要求较高的地方，应减小车速，禁止或尽量少鸣喇叭。</w:t>
            </w:r>
          </w:p>
          <w:p w14:paraId="761409AF">
            <w:pPr>
              <w:ind w:firstLine="480"/>
            </w:pPr>
            <w:r>
              <w:rPr>
                <w:rFonts w:hint="eastAsia"/>
              </w:rPr>
              <w:t>通过以上降噪措施，有效降低设备噪声对厂界的影响程度，确保厂界噪声符合《工业企业厂界环境噪声排放标准》（GB12348-2008）中的3类标准要求，</w:t>
            </w:r>
          </w:p>
          <w:p w14:paraId="502F8EA4">
            <w:pPr>
              <w:ind w:firstLine="480"/>
            </w:pPr>
            <w:r>
              <w:rPr>
                <w:rFonts w:hint="eastAsia"/>
              </w:rPr>
              <w:t>整体来看噪声控制措施可行。</w:t>
            </w:r>
          </w:p>
          <w:p w14:paraId="60711813">
            <w:pPr>
              <w:keepNext/>
              <w:keepLines/>
              <w:ind w:firstLine="0" w:firstLineChars="0"/>
              <w:jc w:val="left"/>
              <w:outlineLvl w:val="2"/>
              <w:rPr>
                <w:b/>
                <w:bCs/>
                <w:sz w:val="28"/>
                <w:szCs w:val="32"/>
              </w:rPr>
            </w:pPr>
            <w:r>
              <w:rPr>
                <w:b/>
                <w:bCs/>
                <w:sz w:val="28"/>
                <w:szCs w:val="32"/>
              </w:rPr>
              <w:t>4.</w:t>
            </w:r>
            <w:r>
              <w:rPr>
                <w:rFonts w:hint="eastAsia"/>
                <w:b/>
                <w:bCs/>
                <w:sz w:val="28"/>
                <w:szCs w:val="32"/>
              </w:rPr>
              <w:t>2.5</w:t>
            </w:r>
            <w:r>
              <w:rPr>
                <w:b/>
                <w:bCs/>
                <w:sz w:val="28"/>
                <w:szCs w:val="32"/>
              </w:rPr>
              <w:t>运营期固体废物影响分析和污染防治措施</w:t>
            </w:r>
          </w:p>
          <w:p w14:paraId="3523AEA6">
            <w:pPr>
              <w:keepNext/>
              <w:keepLines/>
              <w:ind w:firstLine="0" w:firstLineChars="0"/>
              <w:jc w:val="left"/>
              <w:outlineLvl w:val="3"/>
              <w:rPr>
                <w:b/>
                <w:bCs/>
                <w:szCs w:val="28"/>
              </w:rPr>
            </w:pPr>
            <w:r>
              <w:rPr>
                <w:b/>
                <w:bCs/>
                <w:szCs w:val="28"/>
              </w:rPr>
              <w:t>4.</w:t>
            </w:r>
            <w:r>
              <w:rPr>
                <w:rFonts w:hint="eastAsia"/>
                <w:b/>
                <w:bCs/>
                <w:szCs w:val="28"/>
              </w:rPr>
              <w:t>2.5.1</w:t>
            </w:r>
            <w:r>
              <w:rPr>
                <w:b/>
                <w:bCs/>
                <w:szCs w:val="28"/>
              </w:rPr>
              <w:t xml:space="preserve"> 运营期</w:t>
            </w:r>
            <w:r>
              <w:rPr>
                <w:rFonts w:hint="eastAsia"/>
                <w:b/>
                <w:bCs/>
                <w:szCs w:val="28"/>
              </w:rPr>
              <w:t>固体废物</w:t>
            </w:r>
            <w:r>
              <w:rPr>
                <w:b/>
                <w:bCs/>
                <w:szCs w:val="28"/>
              </w:rPr>
              <w:t>源强核算</w:t>
            </w:r>
          </w:p>
          <w:p w14:paraId="259DC88D">
            <w:pPr>
              <w:ind w:firstLine="480"/>
              <w:rPr>
                <w:b/>
                <w:bCs/>
              </w:rPr>
            </w:pPr>
            <w:r>
              <w:rPr>
                <w:rFonts w:hint="eastAsia"/>
              </w:rPr>
              <w:t>（1）一般工业固废</w:t>
            </w:r>
          </w:p>
          <w:p w14:paraId="7DCC529A">
            <w:pPr>
              <w:ind w:firstLine="480"/>
            </w:pPr>
            <w:r>
              <w:rPr>
                <w:rFonts w:hint="eastAsia"/>
              </w:rPr>
              <w:t>①废包装袋</w:t>
            </w:r>
          </w:p>
          <w:p w14:paraId="55F2D533">
            <w:pPr>
              <w:ind w:firstLine="480"/>
            </w:pPr>
            <w:r>
              <w:rPr>
                <w:rFonts w:hint="eastAsia"/>
              </w:rPr>
              <w:t>本项目购买袋装原料，投料后会产生废包装袋，根据企业提供资料预计产生量约为0.8t/a，经收集后出售给回收企业综合利用。</w:t>
            </w:r>
          </w:p>
          <w:p w14:paraId="0AD8BBF9">
            <w:pPr>
              <w:ind w:firstLine="480"/>
            </w:pPr>
            <w:r>
              <w:rPr>
                <w:rFonts w:hint="eastAsia"/>
              </w:rPr>
              <w:t>②捕集粉尘</w:t>
            </w:r>
          </w:p>
          <w:p w14:paraId="613DE3DF">
            <w:pPr>
              <w:ind w:firstLine="480"/>
              <w:rPr>
                <w:color w:val="FF0000"/>
              </w:rPr>
            </w:pPr>
            <w:r>
              <w:rPr>
                <w:rFonts w:hint="eastAsia"/>
              </w:rPr>
              <w:t>项目粉尘经脉冲布袋除尘器治理后排放，根据前文分析，经布袋除尘器捕集的粉尘量约为9.385t/a</w:t>
            </w:r>
            <w:r>
              <w:rPr>
                <w:rFonts w:hint="eastAsia"/>
                <w:lang w:val="en-US" w:eastAsia="zh-CN"/>
              </w:rPr>
              <w:t>（有组织产生量9.48t-有组织排放量0.0949t）</w:t>
            </w:r>
            <w:r>
              <w:rPr>
                <w:rFonts w:hint="eastAsia"/>
              </w:rPr>
              <w:t>，可以直接回用于生产，作为原料使用。</w:t>
            </w:r>
          </w:p>
          <w:p w14:paraId="744F4A7D">
            <w:pPr>
              <w:ind w:firstLine="480"/>
              <w:rPr>
                <w:b/>
                <w:bCs/>
                <w:szCs w:val="28"/>
              </w:rPr>
            </w:pPr>
            <w:r>
              <w:rPr>
                <w:rFonts w:hint="eastAsia"/>
                <w:lang w:bidi="ar"/>
              </w:rPr>
              <w:t>（2）</w:t>
            </w:r>
            <w:r>
              <w:rPr>
                <w:lang w:bidi="ar"/>
              </w:rPr>
              <w:t>生活垃圾</w:t>
            </w:r>
          </w:p>
          <w:p w14:paraId="2281B7FA">
            <w:pPr>
              <w:ind w:firstLine="480"/>
              <w:rPr>
                <w:color w:val="FF0000"/>
                <w:kern w:val="0"/>
                <w:lang w:bidi="ar"/>
              </w:rPr>
            </w:pPr>
            <w:r>
              <w:rPr>
                <w:kern w:val="0"/>
                <w:lang w:bidi="ar"/>
              </w:rPr>
              <w:t>生活垃圾主要来源于项目职工日常生活中产生的垃圾，项目职工人数共</w:t>
            </w:r>
            <w:r>
              <w:rPr>
                <w:rFonts w:hint="eastAsia"/>
                <w:kern w:val="0"/>
                <w:lang w:bidi="ar"/>
              </w:rPr>
              <w:t>7人</w:t>
            </w:r>
            <w:r>
              <w:rPr>
                <w:kern w:val="0"/>
                <w:lang w:bidi="ar"/>
              </w:rPr>
              <w:t>，</w:t>
            </w:r>
            <w:r>
              <w:rPr>
                <w:rFonts w:hint="eastAsia"/>
                <w:kern w:val="0"/>
                <w:lang w:bidi="ar"/>
              </w:rPr>
              <w:t>均不住厂。不住厂职工生活垃圾按0.5kg/（人·天）计算，</w:t>
            </w:r>
            <w:r>
              <w:rPr>
                <w:kern w:val="0"/>
                <w:lang w:bidi="ar"/>
              </w:rPr>
              <w:t>则生活垃圾产生量为</w:t>
            </w:r>
            <w:r>
              <w:rPr>
                <w:rFonts w:hint="eastAsia"/>
                <w:kern w:val="0"/>
                <w:lang w:bidi="ar"/>
              </w:rPr>
              <w:t>0.0035t</w:t>
            </w:r>
            <w:r>
              <w:rPr>
                <w:kern w:val="0"/>
                <w:lang w:bidi="ar"/>
              </w:rPr>
              <w:t>/d，年产生量约为</w:t>
            </w:r>
            <w:r>
              <w:rPr>
                <w:rFonts w:hint="eastAsia"/>
                <w:kern w:val="0"/>
                <w:lang w:bidi="ar"/>
              </w:rPr>
              <w:t>1.05</w:t>
            </w:r>
            <w:r>
              <w:rPr>
                <w:kern w:val="0"/>
                <w:lang w:bidi="ar"/>
              </w:rPr>
              <w:t>t</w:t>
            </w:r>
            <w:r>
              <w:rPr>
                <w:rFonts w:hint="eastAsia"/>
                <w:kern w:val="0"/>
                <w:lang w:bidi="ar"/>
              </w:rPr>
              <w:t>（</w:t>
            </w:r>
            <w:r>
              <w:rPr>
                <w:kern w:val="0"/>
                <w:lang w:bidi="ar"/>
              </w:rPr>
              <w:t>按年工作</w:t>
            </w:r>
            <w:r>
              <w:rPr>
                <w:rFonts w:hint="eastAsia"/>
                <w:kern w:val="0"/>
                <w:lang w:bidi="ar"/>
              </w:rPr>
              <w:t>300</w:t>
            </w:r>
            <w:r>
              <w:rPr>
                <w:kern w:val="0"/>
                <w:lang w:bidi="ar"/>
              </w:rPr>
              <w:t>天计</w:t>
            </w:r>
            <w:r>
              <w:rPr>
                <w:rFonts w:hint="eastAsia"/>
                <w:kern w:val="0"/>
                <w:lang w:bidi="ar"/>
              </w:rPr>
              <w:t>）</w:t>
            </w:r>
            <w:r>
              <w:rPr>
                <w:kern w:val="0"/>
                <w:lang w:bidi="ar"/>
              </w:rPr>
              <w:t>，统一收集后，全部委托环卫部门定期外运统一处置。</w:t>
            </w:r>
          </w:p>
          <w:p w14:paraId="6FA93ACF">
            <w:pPr>
              <w:ind w:firstLine="480"/>
            </w:pPr>
            <w:r>
              <w:t>综上分析，工程固体废物的产生和处置情况详见表4.</w:t>
            </w:r>
            <w:r>
              <w:rPr>
                <w:rFonts w:hint="eastAsia"/>
              </w:rPr>
              <w:t>2-6</w:t>
            </w:r>
            <w:r>
              <w:t>。</w:t>
            </w:r>
          </w:p>
          <w:p w14:paraId="16CEB310">
            <w:pPr>
              <w:keepNext/>
              <w:overflowPunct w:val="0"/>
              <w:snapToGrid w:val="0"/>
              <w:spacing w:before="120" w:beforeLines="50" w:line="240" w:lineRule="auto"/>
              <w:ind w:firstLine="0" w:firstLineChars="0"/>
              <w:jc w:val="center"/>
              <w:rPr>
                <w:b/>
                <w:color w:val="0000FF"/>
                <w:kern w:val="0"/>
              </w:rPr>
            </w:pPr>
            <w:r>
              <w:rPr>
                <w:b/>
                <w:kern w:val="0"/>
              </w:rPr>
              <w:t>表4.</w:t>
            </w:r>
            <w:r>
              <w:rPr>
                <w:rFonts w:hint="eastAsia"/>
                <w:b/>
                <w:kern w:val="0"/>
              </w:rPr>
              <w:t>2</w:t>
            </w:r>
            <w:r>
              <w:rPr>
                <w:b/>
                <w:kern w:val="0"/>
              </w:rPr>
              <w:t>-</w:t>
            </w:r>
            <w:r>
              <w:rPr>
                <w:rFonts w:hint="eastAsia"/>
                <w:b/>
                <w:kern w:val="0"/>
              </w:rPr>
              <w:t xml:space="preserve">6 </w:t>
            </w:r>
            <w:r>
              <w:rPr>
                <w:b/>
                <w:kern w:val="0"/>
              </w:rPr>
              <w:t xml:space="preserve"> 固体废物污染源源强核算结果及相关参数一览表</w:t>
            </w:r>
          </w:p>
          <w:tbl>
            <w:tblPr>
              <w:tblStyle w:val="30"/>
              <w:tblW w:w="497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295"/>
              <w:gridCol w:w="1391"/>
              <w:gridCol w:w="962"/>
              <w:gridCol w:w="1117"/>
              <w:gridCol w:w="820"/>
              <w:gridCol w:w="1047"/>
              <w:gridCol w:w="1052"/>
              <w:gridCol w:w="1545"/>
            </w:tblGrid>
            <w:tr w14:paraId="05D229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01" w:type="pct"/>
                  <w:vMerge w:val="restart"/>
                  <w:vAlign w:val="center"/>
                </w:tcPr>
                <w:p w14:paraId="6D8BB357">
                  <w:pPr>
                    <w:spacing w:line="340" w:lineRule="exact"/>
                    <w:ind w:firstLine="0" w:firstLineChars="0"/>
                    <w:jc w:val="center"/>
                    <w:rPr>
                      <w:b/>
                      <w:bCs/>
                      <w:sz w:val="21"/>
                      <w:szCs w:val="21"/>
                      <w:lang w:bidi="ar"/>
                    </w:rPr>
                  </w:pPr>
                  <w:r>
                    <w:rPr>
                      <w:b/>
                      <w:bCs/>
                      <w:sz w:val="21"/>
                      <w:szCs w:val="21"/>
                      <w:lang w:bidi="ar"/>
                    </w:rPr>
                    <w:t>产生工序</w:t>
                  </w:r>
                </w:p>
                <w:p w14:paraId="457B6B4A">
                  <w:pPr>
                    <w:spacing w:line="340" w:lineRule="exact"/>
                    <w:ind w:firstLine="0" w:firstLineChars="0"/>
                    <w:jc w:val="center"/>
                    <w:rPr>
                      <w:b/>
                      <w:bCs/>
                      <w:sz w:val="21"/>
                      <w:szCs w:val="21"/>
                      <w:lang w:bidi="ar"/>
                    </w:rPr>
                  </w:pPr>
                  <w:r>
                    <w:rPr>
                      <w:b/>
                      <w:bCs/>
                      <w:sz w:val="21"/>
                      <w:szCs w:val="21"/>
                      <w:lang w:bidi="ar"/>
                    </w:rPr>
                    <w:t>/装置</w:t>
                  </w:r>
                </w:p>
              </w:tc>
              <w:tc>
                <w:tcPr>
                  <w:tcW w:w="753" w:type="pct"/>
                  <w:vMerge w:val="restart"/>
                  <w:vAlign w:val="center"/>
                </w:tcPr>
                <w:p w14:paraId="0203D84C">
                  <w:pPr>
                    <w:spacing w:line="340" w:lineRule="exact"/>
                    <w:ind w:firstLine="0" w:firstLineChars="0"/>
                    <w:jc w:val="center"/>
                    <w:rPr>
                      <w:b/>
                      <w:bCs/>
                      <w:sz w:val="21"/>
                      <w:szCs w:val="21"/>
                      <w:lang w:bidi="ar"/>
                    </w:rPr>
                  </w:pPr>
                  <w:r>
                    <w:rPr>
                      <w:b/>
                      <w:bCs/>
                      <w:sz w:val="21"/>
                      <w:szCs w:val="21"/>
                      <w:lang w:bidi="ar"/>
                    </w:rPr>
                    <w:t>固体废物名称</w:t>
                  </w:r>
                </w:p>
              </w:tc>
              <w:tc>
                <w:tcPr>
                  <w:tcW w:w="521" w:type="pct"/>
                  <w:vMerge w:val="restart"/>
                  <w:vAlign w:val="center"/>
                </w:tcPr>
                <w:p w14:paraId="31C5F6FC">
                  <w:pPr>
                    <w:spacing w:line="340" w:lineRule="exact"/>
                    <w:ind w:firstLine="0" w:firstLineChars="0"/>
                    <w:jc w:val="center"/>
                    <w:rPr>
                      <w:b/>
                      <w:bCs/>
                      <w:sz w:val="21"/>
                      <w:szCs w:val="21"/>
                      <w:lang w:bidi="ar"/>
                    </w:rPr>
                  </w:pPr>
                  <w:r>
                    <w:rPr>
                      <w:b/>
                      <w:bCs/>
                      <w:sz w:val="21"/>
                      <w:szCs w:val="21"/>
                      <w:lang w:bidi="ar"/>
                    </w:rPr>
                    <w:t>固废属性</w:t>
                  </w:r>
                </w:p>
              </w:tc>
              <w:tc>
                <w:tcPr>
                  <w:tcW w:w="1049" w:type="pct"/>
                  <w:gridSpan w:val="2"/>
                  <w:vAlign w:val="center"/>
                </w:tcPr>
                <w:p w14:paraId="2B255131">
                  <w:pPr>
                    <w:spacing w:line="340" w:lineRule="exact"/>
                    <w:ind w:firstLine="0" w:firstLineChars="0"/>
                    <w:jc w:val="center"/>
                    <w:rPr>
                      <w:b/>
                      <w:bCs/>
                      <w:sz w:val="21"/>
                      <w:szCs w:val="21"/>
                      <w:lang w:bidi="ar"/>
                    </w:rPr>
                  </w:pPr>
                  <w:r>
                    <w:rPr>
                      <w:b/>
                      <w:bCs/>
                      <w:sz w:val="21"/>
                      <w:szCs w:val="21"/>
                      <w:lang w:bidi="ar"/>
                    </w:rPr>
                    <w:t>产生量</w:t>
                  </w:r>
                </w:p>
              </w:tc>
              <w:tc>
                <w:tcPr>
                  <w:tcW w:w="1137" w:type="pct"/>
                  <w:gridSpan w:val="2"/>
                  <w:vAlign w:val="center"/>
                </w:tcPr>
                <w:p w14:paraId="01CE5CC2">
                  <w:pPr>
                    <w:spacing w:line="340" w:lineRule="exact"/>
                    <w:ind w:firstLine="0" w:firstLineChars="0"/>
                    <w:jc w:val="center"/>
                    <w:rPr>
                      <w:b/>
                      <w:bCs/>
                      <w:sz w:val="21"/>
                      <w:szCs w:val="21"/>
                      <w:lang w:bidi="ar"/>
                    </w:rPr>
                  </w:pPr>
                  <w:r>
                    <w:rPr>
                      <w:b/>
                      <w:bCs/>
                      <w:sz w:val="21"/>
                      <w:szCs w:val="21"/>
                      <w:lang w:bidi="ar"/>
                    </w:rPr>
                    <w:t>处理与处置措施</w:t>
                  </w:r>
                </w:p>
              </w:tc>
              <w:tc>
                <w:tcPr>
                  <w:tcW w:w="837" w:type="pct"/>
                  <w:vMerge w:val="restart"/>
                  <w:vAlign w:val="center"/>
                </w:tcPr>
                <w:p w14:paraId="7D4AA51C">
                  <w:pPr>
                    <w:spacing w:line="340" w:lineRule="exact"/>
                    <w:ind w:firstLine="0" w:firstLineChars="0"/>
                    <w:jc w:val="center"/>
                    <w:rPr>
                      <w:b/>
                      <w:bCs/>
                      <w:sz w:val="21"/>
                      <w:szCs w:val="21"/>
                      <w:lang w:bidi="ar"/>
                    </w:rPr>
                  </w:pPr>
                  <w:r>
                    <w:rPr>
                      <w:b/>
                      <w:bCs/>
                      <w:sz w:val="21"/>
                      <w:szCs w:val="21"/>
                      <w:lang w:bidi="ar"/>
                    </w:rPr>
                    <w:t>最终去向</w:t>
                  </w:r>
                </w:p>
              </w:tc>
            </w:tr>
            <w:tr w14:paraId="02C62F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01" w:type="pct"/>
                  <w:vMerge w:val="continue"/>
                  <w:vAlign w:val="center"/>
                </w:tcPr>
                <w:p w14:paraId="039290D5">
                  <w:pPr>
                    <w:spacing w:line="340" w:lineRule="exact"/>
                    <w:ind w:firstLine="0" w:firstLineChars="0"/>
                    <w:jc w:val="center"/>
                    <w:rPr>
                      <w:b/>
                      <w:bCs/>
                      <w:sz w:val="21"/>
                      <w:szCs w:val="21"/>
                      <w:lang w:bidi="ar"/>
                    </w:rPr>
                  </w:pPr>
                </w:p>
              </w:tc>
              <w:tc>
                <w:tcPr>
                  <w:tcW w:w="753" w:type="pct"/>
                  <w:vMerge w:val="continue"/>
                  <w:vAlign w:val="center"/>
                </w:tcPr>
                <w:p w14:paraId="1FFADDF7">
                  <w:pPr>
                    <w:spacing w:line="340" w:lineRule="exact"/>
                    <w:ind w:firstLine="0" w:firstLineChars="0"/>
                    <w:jc w:val="center"/>
                    <w:rPr>
                      <w:b/>
                      <w:bCs/>
                      <w:sz w:val="21"/>
                      <w:szCs w:val="21"/>
                      <w:lang w:bidi="ar"/>
                    </w:rPr>
                  </w:pPr>
                </w:p>
              </w:tc>
              <w:tc>
                <w:tcPr>
                  <w:tcW w:w="521" w:type="pct"/>
                  <w:vMerge w:val="continue"/>
                  <w:vAlign w:val="center"/>
                </w:tcPr>
                <w:p w14:paraId="0EE3BB0A">
                  <w:pPr>
                    <w:spacing w:line="340" w:lineRule="exact"/>
                    <w:ind w:firstLine="0" w:firstLineChars="0"/>
                    <w:jc w:val="center"/>
                    <w:rPr>
                      <w:b/>
                      <w:bCs/>
                      <w:sz w:val="21"/>
                      <w:szCs w:val="21"/>
                      <w:lang w:bidi="ar"/>
                    </w:rPr>
                  </w:pPr>
                </w:p>
              </w:tc>
              <w:tc>
                <w:tcPr>
                  <w:tcW w:w="605" w:type="pct"/>
                  <w:vAlign w:val="center"/>
                </w:tcPr>
                <w:p w14:paraId="6DB7C07E">
                  <w:pPr>
                    <w:spacing w:line="340" w:lineRule="exact"/>
                    <w:ind w:firstLine="0" w:firstLineChars="0"/>
                    <w:jc w:val="center"/>
                    <w:rPr>
                      <w:b/>
                      <w:bCs/>
                      <w:sz w:val="21"/>
                      <w:szCs w:val="21"/>
                      <w:lang w:bidi="ar"/>
                    </w:rPr>
                  </w:pPr>
                  <w:r>
                    <w:rPr>
                      <w:b/>
                      <w:bCs/>
                      <w:sz w:val="21"/>
                      <w:szCs w:val="21"/>
                      <w:lang w:bidi="ar"/>
                    </w:rPr>
                    <w:t>核算</w:t>
                  </w:r>
                </w:p>
                <w:p w14:paraId="5DD922A5">
                  <w:pPr>
                    <w:spacing w:line="340" w:lineRule="exact"/>
                    <w:ind w:firstLine="0" w:firstLineChars="0"/>
                    <w:jc w:val="center"/>
                    <w:rPr>
                      <w:b/>
                      <w:bCs/>
                      <w:sz w:val="21"/>
                      <w:szCs w:val="21"/>
                      <w:lang w:bidi="ar"/>
                    </w:rPr>
                  </w:pPr>
                  <w:r>
                    <w:rPr>
                      <w:b/>
                      <w:bCs/>
                      <w:sz w:val="21"/>
                      <w:szCs w:val="21"/>
                      <w:lang w:bidi="ar"/>
                    </w:rPr>
                    <w:t>方法</w:t>
                  </w:r>
                </w:p>
              </w:tc>
              <w:tc>
                <w:tcPr>
                  <w:tcW w:w="443" w:type="pct"/>
                  <w:vAlign w:val="center"/>
                </w:tcPr>
                <w:p w14:paraId="12261DE2">
                  <w:pPr>
                    <w:spacing w:line="340" w:lineRule="exact"/>
                    <w:ind w:firstLine="0" w:firstLineChars="0"/>
                    <w:jc w:val="center"/>
                    <w:rPr>
                      <w:b/>
                      <w:bCs/>
                      <w:sz w:val="21"/>
                      <w:szCs w:val="21"/>
                      <w:lang w:bidi="ar"/>
                    </w:rPr>
                  </w:pPr>
                  <w:r>
                    <w:rPr>
                      <w:b/>
                      <w:bCs/>
                      <w:sz w:val="21"/>
                      <w:szCs w:val="21"/>
                      <w:lang w:bidi="ar"/>
                    </w:rPr>
                    <w:t>产生量</w:t>
                  </w:r>
                </w:p>
                <w:p w14:paraId="654D84BE">
                  <w:pPr>
                    <w:spacing w:line="340" w:lineRule="exact"/>
                    <w:ind w:firstLine="0" w:firstLineChars="0"/>
                    <w:jc w:val="center"/>
                    <w:rPr>
                      <w:b/>
                      <w:bCs/>
                      <w:sz w:val="21"/>
                      <w:szCs w:val="21"/>
                      <w:lang w:bidi="ar"/>
                    </w:rPr>
                  </w:pPr>
                  <w:r>
                    <w:rPr>
                      <w:rFonts w:hint="eastAsia"/>
                      <w:b/>
                      <w:bCs/>
                      <w:sz w:val="21"/>
                      <w:szCs w:val="21"/>
                      <w:lang w:bidi="ar"/>
                    </w:rPr>
                    <w:t>（</w:t>
                  </w:r>
                  <w:r>
                    <w:rPr>
                      <w:b/>
                      <w:bCs/>
                      <w:sz w:val="21"/>
                      <w:szCs w:val="21"/>
                      <w:lang w:bidi="ar"/>
                    </w:rPr>
                    <w:t>t/a</w:t>
                  </w:r>
                  <w:r>
                    <w:rPr>
                      <w:rFonts w:hint="eastAsia"/>
                      <w:b/>
                      <w:bCs/>
                      <w:sz w:val="21"/>
                      <w:szCs w:val="21"/>
                      <w:lang w:bidi="ar"/>
                    </w:rPr>
                    <w:t>）</w:t>
                  </w:r>
                </w:p>
              </w:tc>
              <w:tc>
                <w:tcPr>
                  <w:tcW w:w="567" w:type="pct"/>
                  <w:vAlign w:val="center"/>
                </w:tcPr>
                <w:p w14:paraId="532A1F8F">
                  <w:pPr>
                    <w:spacing w:line="340" w:lineRule="exact"/>
                    <w:ind w:firstLine="0" w:firstLineChars="0"/>
                    <w:jc w:val="center"/>
                    <w:rPr>
                      <w:b/>
                      <w:bCs/>
                      <w:sz w:val="21"/>
                      <w:szCs w:val="21"/>
                      <w:lang w:bidi="ar"/>
                    </w:rPr>
                  </w:pPr>
                  <w:r>
                    <w:rPr>
                      <w:b/>
                      <w:bCs/>
                      <w:sz w:val="21"/>
                      <w:szCs w:val="21"/>
                      <w:lang w:bidi="ar"/>
                    </w:rPr>
                    <w:t>工艺</w:t>
                  </w:r>
                </w:p>
              </w:tc>
              <w:tc>
                <w:tcPr>
                  <w:tcW w:w="569" w:type="pct"/>
                  <w:vAlign w:val="center"/>
                </w:tcPr>
                <w:p w14:paraId="5AEBB0DC">
                  <w:pPr>
                    <w:spacing w:line="340" w:lineRule="exact"/>
                    <w:ind w:firstLine="0" w:firstLineChars="0"/>
                    <w:jc w:val="center"/>
                    <w:rPr>
                      <w:b/>
                      <w:bCs/>
                      <w:sz w:val="21"/>
                      <w:szCs w:val="21"/>
                      <w:lang w:bidi="ar"/>
                    </w:rPr>
                  </w:pPr>
                  <w:r>
                    <w:rPr>
                      <w:b/>
                      <w:bCs/>
                      <w:sz w:val="21"/>
                      <w:szCs w:val="21"/>
                      <w:lang w:bidi="ar"/>
                    </w:rPr>
                    <w:t>处理处置量</w:t>
                  </w:r>
                  <w:r>
                    <w:rPr>
                      <w:rFonts w:hint="eastAsia"/>
                      <w:b/>
                      <w:bCs/>
                      <w:sz w:val="21"/>
                      <w:szCs w:val="21"/>
                      <w:lang w:bidi="ar"/>
                    </w:rPr>
                    <w:t>（</w:t>
                  </w:r>
                  <w:r>
                    <w:rPr>
                      <w:b/>
                      <w:bCs/>
                      <w:sz w:val="21"/>
                      <w:szCs w:val="21"/>
                      <w:lang w:bidi="ar"/>
                    </w:rPr>
                    <w:t>t/a</w:t>
                  </w:r>
                  <w:r>
                    <w:rPr>
                      <w:rFonts w:hint="eastAsia"/>
                      <w:b/>
                      <w:bCs/>
                      <w:sz w:val="21"/>
                      <w:szCs w:val="21"/>
                      <w:lang w:bidi="ar"/>
                    </w:rPr>
                    <w:t>）</w:t>
                  </w:r>
                </w:p>
              </w:tc>
              <w:tc>
                <w:tcPr>
                  <w:tcW w:w="837" w:type="pct"/>
                  <w:vMerge w:val="continue"/>
                  <w:vAlign w:val="center"/>
                </w:tcPr>
                <w:p w14:paraId="722B8023">
                  <w:pPr>
                    <w:spacing w:line="340" w:lineRule="exact"/>
                    <w:ind w:firstLine="0" w:firstLineChars="0"/>
                    <w:jc w:val="center"/>
                    <w:rPr>
                      <w:b/>
                      <w:bCs/>
                      <w:sz w:val="21"/>
                      <w:szCs w:val="21"/>
                      <w:lang w:bidi="ar"/>
                    </w:rPr>
                  </w:pPr>
                </w:p>
              </w:tc>
            </w:tr>
            <w:tr w14:paraId="583B55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01" w:type="pct"/>
                  <w:vAlign w:val="center"/>
                </w:tcPr>
                <w:p w14:paraId="50A7F56E">
                  <w:pPr>
                    <w:spacing w:line="340" w:lineRule="exact"/>
                    <w:ind w:firstLine="0" w:firstLineChars="0"/>
                    <w:jc w:val="center"/>
                    <w:rPr>
                      <w:sz w:val="21"/>
                      <w:szCs w:val="21"/>
                      <w:lang w:bidi="ar"/>
                    </w:rPr>
                  </w:pPr>
                  <w:r>
                    <w:rPr>
                      <w:rFonts w:hint="eastAsia"/>
                      <w:sz w:val="21"/>
                      <w:szCs w:val="21"/>
                      <w:lang w:bidi="ar"/>
                    </w:rPr>
                    <w:t>投料</w:t>
                  </w:r>
                </w:p>
              </w:tc>
              <w:tc>
                <w:tcPr>
                  <w:tcW w:w="753" w:type="pct"/>
                  <w:vAlign w:val="center"/>
                </w:tcPr>
                <w:p w14:paraId="67FA7802">
                  <w:pPr>
                    <w:spacing w:line="340" w:lineRule="exact"/>
                    <w:ind w:firstLine="0" w:firstLineChars="0"/>
                    <w:jc w:val="center"/>
                    <w:rPr>
                      <w:sz w:val="21"/>
                      <w:szCs w:val="21"/>
                      <w:lang w:bidi="ar"/>
                    </w:rPr>
                  </w:pPr>
                  <w:r>
                    <w:rPr>
                      <w:rFonts w:hint="eastAsia"/>
                      <w:sz w:val="21"/>
                      <w:szCs w:val="21"/>
                      <w:lang w:bidi="ar"/>
                    </w:rPr>
                    <w:t>废包装袋</w:t>
                  </w:r>
                </w:p>
              </w:tc>
              <w:tc>
                <w:tcPr>
                  <w:tcW w:w="521" w:type="pct"/>
                  <w:vMerge w:val="restart"/>
                  <w:vAlign w:val="center"/>
                </w:tcPr>
                <w:p w14:paraId="2C612E72">
                  <w:pPr>
                    <w:spacing w:line="340" w:lineRule="exact"/>
                    <w:ind w:firstLine="0" w:firstLineChars="0"/>
                    <w:jc w:val="center"/>
                    <w:rPr>
                      <w:sz w:val="21"/>
                      <w:szCs w:val="21"/>
                      <w:lang w:bidi="ar"/>
                    </w:rPr>
                  </w:pPr>
                  <w:r>
                    <w:rPr>
                      <w:rFonts w:hint="eastAsia"/>
                      <w:sz w:val="21"/>
                      <w:szCs w:val="21"/>
                      <w:lang w:bidi="ar"/>
                    </w:rPr>
                    <w:t>一般工业固废</w:t>
                  </w:r>
                </w:p>
              </w:tc>
              <w:tc>
                <w:tcPr>
                  <w:tcW w:w="605" w:type="pct"/>
                  <w:vAlign w:val="center"/>
                </w:tcPr>
                <w:p w14:paraId="32D73016">
                  <w:pPr>
                    <w:spacing w:line="340" w:lineRule="exact"/>
                    <w:ind w:firstLine="0" w:firstLineChars="0"/>
                    <w:jc w:val="center"/>
                    <w:rPr>
                      <w:sz w:val="21"/>
                      <w:szCs w:val="21"/>
                      <w:lang w:bidi="ar"/>
                    </w:rPr>
                  </w:pPr>
                  <w:r>
                    <w:rPr>
                      <w:rFonts w:hint="eastAsia"/>
                      <w:sz w:val="21"/>
                      <w:szCs w:val="21"/>
                      <w:lang w:bidi="ar"/>
                    </w:rPr>
                    <w:t>经验系数法</w:t>
                  </w:r>
                </w:p>
              </w:tc>
              <w:tc>
                <w:tcPr>
                  <w:tcW w:w="443" w:type="pct"/>
                  <w:vAlign w:val="center"/>
                </w:tcPr>
                <w:p w14:paraId="4ED67F0E">
                  <w:pPr>
                    <w:spacing w:line="340" w:lineRule="exact"/>
                    <w:ind w:firstLine="0" w:firstLineChars="0"/>
                    <w:jc w:val="center"/>
                    <w:rPr>
                      <w:sz w:val="21"/>
                      <w:szCs w:val="21"/>
                      <w:lang w:bidi="ar"/>
                    </w:rPr>
                  </w:pPr>
                  <w:r>
                    <w:rPr>
                      <w:rFonts w:hint="eastAsia"/>
                      <w:sz w:val="21"/>
                      <w:szCs w:val="21"/>
                      <w:lang w:bidi="ar"/>
                    </w:rPr>
                    <w:t>0.8</w:t>
                  </w:r>
                </w:p>
              </w:tc>
              <w:tc>
                <w:tcPr>
                  <w:tcW w:w="567" w:type="pct"/>
                  <w:vAlign w:val="center"/>
                </w:tcPr>
                <w:p w14:paraId="3752BA84">
                  <w:pPr>
                    <w:spacing w:line="340" w:lineRule="exact"/>
                    <w:ind w:firstLine="0" w:firstLineChars="0"/>
                    <w:jc w:val="center"/>
                    <w:rPr>
                      <w:sz w:val="21"/>
                      <w:szCs w:val="21"/>
                      <w:lang w:bidi="ar"/>
                    </w:rPr>
                  </w:pPr>
                  <w:r>
                    <w:rPr>
                      <w:rFonts w:hint="eastAsia"/>
                      <w:sz w:val="21"/>
                      <w:szCs w:val="21"/>
                      <w:lang w:bidi="ar"/>
                    </w:rPr>
                    <w:t>综合利用</w:t>
                  </w:r>
                </w:p>
              </w:tc>
              <w:tc>
                <w:tcPr>
                  <w:tcW w:w="569" w:type="pct"/>
                  <w:vAlign w:val="center"/>
                </w:tcPr>
                <w:p w14:paraId="081C2AFC">
                  <w:pPr>
                    <w:spacing w:line="340" w:lineRule="exact"/>
                    <w:ind w:firstLine="0" w:firstLineChars="0"/>
                    <w:jc w:val="center"/>
                    <w:rPr>
                      <w:sz w:val="21"/>
                      <w:szCs w:val="21"/>
                      <w:lang w:bidi="ar"/>
                    </w:rPr>
                  </w:pPr>
                  <w:r>
                    <w:rPr>
                      <w:rFonts w:hint="eastAsia"/>
                      <w:sz w:val="21"/>
                      <w:szCs w:val="21"/>
                      <w:lang w:bidi="ar"/>
                    </w:rPr>
                    <w:t>0.8</w:t>
                  </w:r>
                </w:p>
              </w:tc>
              <w:tc>
                <w:tcPr>
                  <w:tcW w:w="837" w:type="pct"/>
                  <w:vAlign w:val="center"/>
                </w:tcPr>
                <w:p w14:paraId="399B9651">
                  <w:pPr>
                    <w:spacing w:line="340" w:lineRule="exact"/>
                    <w:ind w:firstLine="0" w:firstLineChars="0"/>
                    <w:jc w:val="center"/>
                    <w:rPr>
                      <w:sz w:val="21"/>
                      <w:szCs w:val="21"/>
                      <w:lang w:bidi="ar"/>
                    </w:rPr>
                  </w:pPr>
                  <w:r>
                    <w:rPr>
                      <w:rFonts w:hint="eastAsia"/>
                      <w:sz w:val="21"/>
                      <w:szCs w:val="21"/>
                      <w:lang w:bidi="ar"/>
                    </w:rPr>
                    <w:t>外售综合利用</w:t>
                  </w:r>
                </w:p>
              </w:tc>
            </w:tr>
            <w:tr w14:paraId="7DF41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01" w:type="pct"/>
                  <w:vAlign w:val="center"/>
                </w:tcPr>
                <w:p w14:paraId="5A7502E9">
                  <w:pPr>
                    <w:spacing w:line="340" w:lineRule="exact"/>
                    <w:ind w:firstLine="0" w:firstLineChars="0"/>
                    <w:jc w:val="center"/>
                    <w:rPr>
                      <w:sz w:val="21"/>
                      <w:szCs w:val="21"/>
                      <w:lang w:bidi="ar"/>
                    </w:rPr>
                  </w:pPr>
                  <w:r>
                    <w:rPr>
                      <w:rFonts w:hint="eastAsia"/>
                      <w:sz w:val="21"/>
                      <w:szCs w:val="21"/>
                      <w:lang w:bidi="ar"/>
                    </w:rPr>
                    <w:t>布袋除尘器</w:t>
                  </w:r>
                </w:p>
              </w:tc>
              <w:tc>
                <w:tcPr>
                  <w:tcW w:w="753" w:type="pct"/>
                  <w:vAlign w:val="center"/>
                </w:tcPr>
                <w:p w14:paraId="6F492A21">
                  <w:pPr>
                    <w:spacing w:line="340" w:lineRule="exact"/>
                    <w:ind w:firstLine="0" w:firstLineChars="0"/>
                    <w:jc w:val="center"/>
                    <w:rPr>
                      <w:sz w:val="21"/>
                      <w:szCs w:val="21"/>
                      <w:lang w:bidi="ar"/>
                    </w:rPr>
                  </w:pPr>
                  <w:r>
                    <w:rPr>
                      <w:rFonts w:hint="eastAsia"/>
                      <w:sz w:val="21"/>
                      <w:szCs w:val="21"/>
                      <w:lang w:bidi="ar"/>
                    </w:rPr>
                    <w:t>捕集粉尘</w:t>
                  </w:r>
                </w:p>
              </w:tc>
              <w:tc>
                <w:tcPr>
                  <w:tcW w:w="521" w:type="pct"/>
                  <w:vMerge w:val="continue"/>
                  <w:vAlign w:val="center"/>
                </w:tcPr>
                <w:p w14:paraId="1CFAE46A">
                  <w:pPr>
                    <w:spacing w:line="340" w:lineRule="exact"/>
                    <w:ind w:firstLine="0" w:firstLineChars="0"/>
                    <w:jc w:val="center"/>
                    <w:rPr>
                      <w:sz w:val="21"/>
                      <w:szCs w:val="21"/>
                      <w:lang w:bidi="ar"/>
                    </w:rPr>
                  </w:pPr>
                </w:p>
              </w:tc>
              <w:tc>
                <w:tcPr>
                  <w:tcW w:w="605" w:type="pct"/>
                  <w:vAlign w:val="center"/>
                </w:tcPr>
                <w:p w14:paraId="1ECF9CF2">
                  <w:pPr>
                    <w:spacing w:line="340" w:lineRule="exact"/>
                    <w:ind w:firstLine="0" w:firstLineChars="0"/>
                    <w:jc w:val="center"/>
                    <w:rPr>
                      <w:sz w:val="21"/>
                      <w:szCs w:val="21"/>
                      <w:lang w:bidi="ar"/>
                    </w:rPr>
                  </w:pPr>
                  <w:r>
                    <w:rPr>
                      <w:rFonts w:hint="eastAsia"/>
                      <w:sz w:val="21"/>
                      <w:szCs w:val="21"/>
                      <w:lang w:bidi="ar"/>
                    </w:rPr>
                    <w:t>物料衡算法</w:t>
                  </w:r>
                </w:p>
              </w:tc>
              <w:tc>
                <w:tcPr>
                  <w:tcW w:w="443" w:type="pct"/>
                  <w:vAlign w:val="center"/>
                </w:tcPr>
                <w:p w14:paraId="225E2F6C">
                  <w:pPr>
                    <w:spacing w:line="340" w:lineRule="exact"/>
                    <w:ind w:firstLine="0" w:firstLineChars="0"/>
                    <w:jc w:val="center"/>
                    <w:rPr>
                      <w:sz w:val="21"/>
                      <w:szCs w:val="21"/>
                      <w:lang w:bidi="ar"/>
                    </w:rPr>
                  </w:pPr>
                  <w:r>
                    <w:rPr>
                      <w:rFonts w:hint="eastAsia"/>
                      <w:sz w:val="21"/>
                      <w:szCs w:val="21"/>
                      <w:lang w:bidi="ar"/>
                    </w:rPr>
                    <w:t>9.385</w:t>
                  </w:r>
                </w:p>
              </w:tc>
              <w:tc>
                <w:tcPr>
                  <w:tcW w:w="567" w:type="pct"/>
                  <w:vAlign w:val="center"/>
                </w:tcPr>
                <w:p w14:paraId="7A4905D4">
                  <w:pPr>
                    <w:spacing w:line="340" w:lineRule="exact"/>
                    <w:ind w:firstLine="0" w:firstLineChars="0"/>
                    <w:jc w:val="center"/>
                    <w:rPr>
                      <w:sz w:val="21"/>
                      <w:szCs w:val="21"/>
                      <w:lang w:bidi="ar"/>
                    </w:rPr>
                  </w:pPr>
                  <w:r>
                    <w:rPr>
                      <w:rFonts w:hint="eastAsia"/>
                      <w:sz w:val="21"/>
                      <w:szCs w:val="21"/>
                      <w:lang w:bidi="ar"/>
                    </w:rPr>
                    <w:t>回用</w:t>
                  </w:r>
                </w:p>
              </w:tc>
              <w:tc>
                <w:tcPr>
                  <w:tcW w:w="569" w:type="pct"/>
                  <w:vAlign w:val="center"/>
                </w:tcPr>
                <w:p w14:paraId="0E3AFD87">
                  <w:pPr>
                    <w:spacing w:line="340" w:lineRule="exact"/>
                    <w:ind w:firstLine="0" w:firstLineChars="0"/>
                    <w:jc w:val="center"/>
                    <w:rPr>
                      <w:sz w:val="21"/>
                      <w:szCs w:val="21"/>
                      <w:lang w:bidi="ar"/>
                    </w:rPr>
                  </w:pPr>
                  <w:r>
                    <w:rPr>
                      <w:rFonts w:hint="eastAsia"/>
                      <w:sz w:val="21"/>
                      <w:szCs w:val="21"/>
                      <w:lang w:bidi="ar"/>
                    </w:rPr>
                    <w:t>9.385</w:t>
                  </w:r>
                </w:p>
              </w:tc>
              <w:tc>
                <w:tcPr>
                  <w:tcW w:w="837" w:type="pct"/>
                  <w:vAlign w:val="center"/>
                </w:tcPr>
                <w:p w14:paraId="1CF93993">
                  <w:pPr>
                    <w:spacing w:line="340" w:lineRule="exact"/>
                    <w:ind w:firstLine="0" w:firstLineChars="0"/>
                    <w:jc w:val="center"/>
                    <w:rPr>
                      <w:sz w:val="21"/>
                      <w:szCs w:val="21"/>
                      <w:lang w:bidi="ar"/>
                    </w:rPr>
                  </w:pPr>
                  <w:r>
                    <w:rPr>
                      <w:rFonts w:hint="eastAsia"/>
                      <w:sz w:val="21"/>
                      <w:szCs w:val="21"/>
                      <w:lang w:bidi="ar"/>
                    </w:rPr>
                    <w:t>回用于生产</w:t>
                  </w:r>
                </w:p>
              </w:tc>
            </w:tr>
            <w:tr w14:paraId="0E806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01" w:type="pct"/>
                  <w:vAlign w:val="center"/>
                </w:tcPr>
                <w:p w14:paraId="4D9C11C7">
                  <w:pPr>
                    <w:spacing w:line="340" w:lineRule="exact"/>
                    <w:ind w:firstLine="0" w:firstLineChars="0"/>
                    <w:jc w:val="center"/>
                    <w:rPr>
                      <w:sz w:val="21"/>
                      <w:szCs w:val="21"/>
                      <w:lang w:bidi="ar"/>
                    </w:rPr>
                  </w:pPr>
                  <w:r>
                    <w:rPr>
                      <w:rFonts w:hint="eastAsia"/>
                      <w:sz w:val="21"/>
                      <w:szCs w:val="21"/>
                      <w:lang w:bidi="ar"/>
                    </w:rPr>
                    <w:t>办公区</w:t>
                  </w:r>
                </w:p>
              </w:tc>
              <w:tc>
                <w:tcPr>
                  <w:tcW w:w="753" w:type="pct"/>
                  <w:vAlign w:val="center"/>
                </w:tcPr>
                <w:p w14:paraId="463B9882">
                  <w:pPr>
                    <w:spacing w:line="340" w:lineRule="exact"/>
                    <w:ind w:firstLine="0" w:firstLineChars="0"/>
                    <w:jc w:val="center"/>
                    <w:rPr>
                      <w:sz w:val="21"/>
                      <w:szCs w:val="21"/>
                      <w:lang w:bidi="ar"/>
                    </w:rPr>
                  </w:pPr>
                  <w:r>
                    <w:rPr>
                      <w:rFonts w:hint="eastAsia"/>
                      <w:sz w:val="21"/>
                      <w:szCs w:val="21"/>
                      <w:lang w:bidi="ar"/>
                    </w:rPr>
                    <w:t>生活垃圾</w:t>
                  </w:r>
                </w:p>
              </w:tc>
              <w:tc>
                <w:tcPr>
                  <w:tcW w:w="521" w:type="pct"/>
                  <w:vAlign w:val="center"/>
                </w:tcPr>
                <w:p w14:paraId="028EF4AE">
                  <w:pPr>
                    <w:spacing w:line="340" w:lineRule="exact"/>
                    <w:ind w:firstLine="0" w:firstLineChars="0"/>
                    <w:jc w:val="center"/>
                    <w:rPr>
                      <w:sz w:val="21"/>
                      <w:szCs w:val="21"/>
                      <w:lang w:bidi="ar"/>
                    </w:rPr>
                  </w:pPr>
                  <w:r>
                    <w:rPr>
                      <w:rFonts w:hint="eastAsia"/>
                      <w:sz w:val="21"/>
                      <w:szCs w:val="21"/>
                      <w:lang w:bidi="ar"/>
                    </w:rPr>
                    <w:t>生活垃圾</w:t>
                  </w:r>
                </w:p>
              </w:tc>
              <w:tc>
                <w:tcPr>
                  <w:tcW w:w="605" w:type="pct"/>
                  <w:vAlign w:val="center"/>
                </w:tcPr>
                <w:p w14:paraId="035F2060">
                  <w:pPr>
                    <w:spacing w:line="340" w:lineRule="exact"/>
                    <w:ind w:firstLine="0" w:firstLineChars="0"/>
                    <w:jc w:val="center"/>
                    <w:rPr>
                      <w:sz w:val="21"/>
                      <w:szCs w:val="21"/>
                      <w:lang w:bidi="ar"/>
                    </w:rPr>
                  </w:pPr>
                  <w:r>
                    <w:rPr>
                      <w:rFonts w:hint="eastAsia"/>
                      <w:sz w:val="21"/>
                      <w:szCs w:val="21"/>
                      <w:lang w:bidi="ar"/>
                    </w:rPr>
                    <w:t>产污系数法</w:t>
                  </w:r>
                </w:p>
              </w:tc>
              <w:tc>
                <w:tcPr>
                  <w:tcW w:w="443" w:type="pct"/>
                  <w:vAlign w:val="center"/>
                </w:tcPr>
                <w:p w14:paraId="5B927025">
                  <w:pPr>
                    <w:spacing w:line="340" w:lineRule="exact"/>
                    <w:ind w:firstLine="0" w:firstLineChars="0"/>
                    <w:jc w:val="center"/>
                    <w:rPr>
                      <w:sz w:val="21"/>
                      <w:szCs w:val="21"/>
                      <w:lang w:bidi="ar"/>
                    </w:rPr>
                  </w:pPr>
                  <w:r>
                    <w:rPr>
                      <w:rFonts w:hint="eastAsia"/>
                      <w:sz w:val="21"/>
                      <w:szCs w:val="21"/>
                      <w:lang w:bidi="ar"/>
                    </w:rPr>
                    <w:t>1.05</w:t>
                  </w:r>
                </w:p>
              </w:tc>
              <w:tc>
                <w:tcPr>
                  <w:tcW w:w="567" w:type="pct"/>
                  <w:vAlign w:val="center"/>
                </w:tcPr>
                <w:p w14:paraId="36D9FE29">
                  <w:pPr>
                    <w:spacing w:line="340" w:lineRule="exact"/>
                    <w:ind w:firstLine="0" w:firstLineChars="0"/>
                    <w:jc w:val="center"/>
                    <w:rPr>
                      <w:sz w:val="21"/>
                      <w:szCs w:val="21"/>
                      <w:lang w:bidi="ar"/>
                    </w:rPr>
                  </w:pPr>
                  <w:r>
                    <w:rPr>
                      <w:rFonts w:hint="eastAsia"/>
                      <w:sz w:val="21"/>
                      <w:szCs w:val="21"/>
                      <w:lang w:bidi="ar"/>
                    </w:rPr>
                    <w:t>清运</w:t>
                  </w:r>
                </w:p>
              </w:tc>
              <w:tc>
                <w:tcPr>
                  <w:tcW w:w="569" w:type="pct"/>
                  <w:vAlign w:val="center"/>
                </w:tcPr>
                <w:p w14:paraId="184F0A92">
                  <w:pPr>
                    <w:spacing w:line="340" w:lineRule="exact"/>
                    <w:ind w:firstLine="0" w:firstLineChars="0"/>
                    <w:jc w:val="center"/>
                    <w:rPr>
                      <w:sz w:val="21"/>
                      <w:szCs w:val="21"/>
                      <w:lang w:bidi="ar"/>
                    </w:rPr>
                  </w:pPr>
                  <w:r>
                    <w:rPr>
                      <w:rFonts w:hint="eastAsia"/>
                      <w:sz w:val="21"/>
                      <w:szCs w:val="21"/>
                      <w:lang w:bidi="ar"/>
                    </w:rPr>
                    <w:t>1.05</w:t>
                  </w:r>
                </w:p>
              </w:tc>
              <w:tc>
                <w:tcPr>
                  <w:tcW w:w="837" w:type="pct"/>
                  <w:vAlign w:val="center"/>
                </w:tcPr>
                <w:p w14:paraId="64BE6921">
                  <w:pPr>
                    <w:spacing w:line="340" w:lineRule="exact"/>
                    <w:ind w:firstLine="0" w:firstLineChars="0"/>
                    <w:jc w:val="center"/>
                    <w:rPr>
                      <w:sz w:val="21"/>
                      <w:szCs w:val="21"/>
                      <w:lang w:bidi="ar"/>
                    </w:rPr>
                  </w:pPr>
                  <w:r>
                    <w:rPr>
                      <w:rFonts w:hint="eastAsia"/>
                      <w:sz w:val="21"/>
                      <w:szCs w:val="21"/>
                      <w:lang w:bidi="ar"/>
                    </w:rPr>
                    <w:t>环卫部门统一处置</w:t>
                  </w:r>
                </w:p>
              </w:tc>
            </w:tr>
          </w:tbl>
          <w:p w14:paraId="5BE4E96C">
            <w:pPr>
              <w:keepNext/>
              <w:keepLines/>
              <w:ind w:firstLine="0" w:firstLineChars="0"/>
              <w:jc w:val="left"/>
              <w:outlineLvl w:val="3"/>
              <w:rPr>
                <w:b/>
                <w:bCs/>
                <w:szCs w:val="28"/>
              </w:rPr>
            </w:pPr>
            <w:r>
              <w:rPr>
                <w:rFonts w:hint="eastAsia"/>
                <w:b/>
                <w:bCs/>
                <w:szCs w:val="28"/>
              </w:rPr>
              <w:t>4</w:t>
            </w:r>
            <w:r>
              <w:rPr>
                <w:b/>
                <w:bCs/>
                <w:szCs w:val="28"/>
              </w:rPr>
              <w:t>.</w:t>
            </w:r>
            <w:r>
              <w:rPr>
                <w:rFonts w:hint="eastAsia"/>
                <w:b/>
                <w:bCs/>
                <w:szCs w:val="28"/>
              </w:rPr>
              <w:t>2.5.2</w:t>
            </w:r>
            <w:r>
              <w:rPr>
                <w:b/>
                <w:bCs/>
                <w:szCs w:val="28"/>
              </w:rPr>
              <w:t xml:space="preserve"> 运营期固体废物影响分析及环境管理要求</w:t>
            </w:r>
          </w:p>
          <w:p w14:paraId="2F308B1B">
            <w:pPr>
              <w:ind w:firstLine="480"/>
            </w:pPr>
            <w:r>
              <w:rPr>
                <w:rFonts w:hint="eastAsia"/>
              </w:rPr>
              <w:t>项目对固体废物（即一般固废、生活垃圾）的收集采用分类收集方式等，区别性质分别收集处置。</w:t>
            </w:r>
          </w:p>
          <w:p w14:paraId="19AB2CC4">
            <w:pPr>
              <w:pStyle w:val="139"/>
            </w:pPr>
            <w:r>
              <w:t>（1）一般工业固体废物的贮存和管理</w:t>
            </w:r>
          </w:p>
          <w:p w14:paraId="2921CEB6">
            <w:pPr>
              <w:pStyle w:val="139"/>
            </w:pPr>
            <w:r>
              <w:rPr>
                <w:rFonts w:hint="eastAsia"/>
                <w:color w:val="auto"/>
              </w:rPr>
              <w:t>生产车间东北侧</w:t>
            </w:r>
            <w:r>
              <w:rPr>
                <w:color w:val="auto"/>
              </w:rPr>
              <w:t>设置1个</w:t>
            </w:r>
            <w:r>
              <w:rPr>
                <w:rFonts w:hint="eastAsia"/>
                <w:color w:val="auto"/>
              </w:rPr>
              <w:t>固废暂存间</w:t>
            </w:r>
            <w:r>
              <w:rPr>
                <w:color w:val="auto"/>
              </w:rPr>
              <w:t>，面积</w:t>
            </w:r>
            <w:r>
              <w:rPr>
                <w:rFonts w:hint="eastAsia"/>
                <w:color w:val="auto"/>
              </w:rPr>
              <w:t>10m</w:t>
            </w:r>
            <w:r>
              <w:rPr>
                <w:rFonts w:hint="eastAsia"/>
                <w:color w:val="auto"/>
                <w:vertAlign w:val="superscript"/>
              </w:rPr>
              <w:t>2</w:t>
            </w:r>
            <w:r>
              <w:rPr>
                <w:rFonts w:hint="eastAsia"/>
                <w:color w:val="auto"/>
              </w:rPr>
              <w:t>。</w:t>
            </w:r>
            <w:r>
              <w:rPr>
                <w:color w:val="auto"/>
              </w:rPr>
              <w:t>根据《一般工</w:t>
            </w:r>
            <w:r>
              <w:t>业固体废物贮存和填埋污染控制标准》</w:t>
            </w:r>
            <w:r>
              <w:rPr>
                <w:rFonts w:hint="eastAsia"/>
              </w:rPr>
              <w:t>（</w:t>
            </w:r>
            <w:r>
              <w:t>GB18599-2020</w:t>
            </w:r>
            <w:r>
              <w:rPr>
                <w:rFonts w:hint="eastAsia"/>
              </w:rPr>
              <w:t>）</w:t>
            </w:r>
            <w:r>
              <w:t>及修改单中的要求，一般工业固体废物的贮存和管理应做到：</w:t>
            </w:r>
          </w:p>
          <w:p w14:paraId="3B0C43C8">
            <w:pPr>
              <w:pStyle w:val="139"/>
            </w:pPr>
            <w:r>
              <w:rPr>
                <w:rFonts w:hint="eastAsia" w:ascii="宋体" w:hAnsi="宋体"/>
              </w:rPr>
              <w:t>①</w:t>
            </w:r>
            <w:r>
              <w:t>一般工业固体废物应建立专门的一般固废收集房。不允许将危险废物和生活垃圾混入。</w:t>
            </w:r>
          </w:p>
          <w:p w14:paraId="68F9A0EF">
            <w:pPr>
              <w:pStyle w:val="139"/>
            </w:pPr>
            <w:r>
              <w:rPr>
                <w:rFonts w:hint="eastAsia" w:ascii="宋体" w:hAnsi="宋体"/>
              </w:rPr>
              <w:t>②</w:t>
            </w:r>
            <w:r>
              <w:t>尽量将可利用的一般工业固体废物回收、利用。</w:t>
            </w:r>
          </w:p>
          <w:p w14:paraId="43170F08">
            <w:pPr>
              <w:pStyle w:val="139"/>
            </w:pPr>
            <w:r>
              <w:rPr>
                <w:rFonts w:hint="eastAsia" w:ascii="宋体" w:hAnsi="宋体"/>
              </w:rPr>
              <w:t>③</w:t>
            </w:r>
            <w:r>
              <w:t>临时储存地点必须建有雨棚，不允许露天堆放，以防止雨水冲刷，雨水应通过场地四周导流渠流向雨水排放管；临时堆放场地为水泥铺设地面，以防渗漏。</w:t>
            </w:r>
          </w:p>
          <w:p w14:paraId="2202633B">
            <w:pPr>
              <w:ind w:firstLine="480"/>
            </w:pPr>
            <w:r>
              <w:rPr>
                <w:rFonts w:hint="eastAsia" w:ascii="宋体" w:hAnsi="宋体"/>
                <w:color w:val="000000"/>
              </w:rPr>
              <w:t>④</w:t>
            </w:r>
            <w:r>
              <w:rPr>
                <w:color w:val="000000"/>
              </w:rPr>
              <w:t>为加强管理监督，贮存、处置场所应按</w:t>
            </w:r>
            <w:r>
              <w:rPr>
                <w:rFonts w:hint="eastAsia"/>
                <w:color w:val="000000"/>
              </w:rPr>
              <w:t>《一般工业固体废物贮存和填埋污染控制标准》（GB18599-2020）</w:t>
            </w:r>
            <w:r>
              <w:rPr>
                <w:color w:val="000000"/>
              </w:rPr>
              <w:t>设置环境保护图形标志。</w:t>
            </w:r>
          </w:p>
          <w:p w14:paraId="664C8C84">
            <w:pPr>
              <w:ind w:firstLine="480"/>
            </w:pPr>
            <w:r>
              <w:rPr>
                <w:rFonts w:hint="eastAsia"/>
              </w:rPr>
              <w:t>（2）生活垃圾</w:t>
            </w:r>
          </w:p>
          <w:p w14:paraId="33DAE4D3">
            <w:pPr>
              <w:ind w:firstLine="480"/>
            </w:pPr>
            <w:r>
              <w:rPr>
                <w:rFonts w:hint="eastAsia"/>
              </w:rPr>
              <w:t>项目产生的职工生活垃圾经厂区垃圾桶收集后委托环卫部门统一清运处置。</w:t>
            </w:r>
          </w:p>
          <w:p w14:paraId="072B3A4B">
            <w:pPr>
              <w:ind w:firstLine="480"/>
            </w:pPr>
            <w:r>
              <w:t>综述，本项目固体废物</w:t>
            </w:r>
            <w:r>
              <w:rPr>
                <w:rFonts w:hint="eastAsia"/>
              </w:rPr>
              <w:t>采取以上处置处理措施后，正常情况下，不会对周边环境造成二次污染</w:t>
            </w:r>
            <w:r>
              <w:t>。</w:t>
            </w:r>
          </w:p>
          <w:p w14:paraId="0831914C">
            <w:pPr>
              <w:keepNext/>
              <w:keepLines/>
              <w:ind w:firstLine="0" w:firstLineChars="0"/>
              <w:jc w:val="left"/>
              <w:outlineLvl w:val="1"/>
              <w:rPr>
                <w:b/>
                <w:bCs/>
                <w:sz w:val="30"/>
                <w:szCs w:val="32"/>
              </w:rPr>
            </w:pPr>
            <w:r>
              <w:rPr>
                <w:b/>
                <w:bCs/>
                <w:sz w:val="30"/>
                <w:szCs w:val="32"/>
              </w:rPr>
              <w:t>4.</w:t>
            </w:r>
            <w:r>
              <w:rPr>
                <w:rFonts w:hint="eastAsia"/>
                <w:b/>
                <w:bCs/>
                <w:sz w:val="30"/>
                <w:szCs w:val="32"/>
              </w:rPr>
              <w:t>3 土壤、地下水环境影响和保护措施</w:t>
            </w:r>
          </w:p>
          <w:p w14:paraId="2EDE0389">
            <w:pPr>
              <w:keepNext/>
              <w:keepLines/>
              <w:ind w:firstLine="0" w:firstLineChars="0"/>
              <w:jc w:val="left"/>
              <w:outlineLvl w:val="2"/>
              <w:rPr>
                <w:b/>
                <w:bCs/>
                <w:sz w:val="28"/>
                <w:szCs w:val="32"/>
              </w:rPr>
            </w:pPr>
            <w:r>
              <w:rPr>
                <w:rFonts w:hint="eastAsia"/>
                <w:b/>
                <w:bCs/>
                <w:sz w:val="28"/>
                <w:szCs w:val="32"/>
              </w:rPr>
              <w:t>4.3.1地下水、土壤环境影响分析</w:t>
            </w:r>
          </w:p>
          <w:p w14:paraId="2C4CC8D0">
            <w:pPr>
              <w:ind w:firstLine="480"/>
            </w:pPr>
            <w:r>
              <w:rPr>
                <w:rFonts w:hint="eastAsia"/>
              </w:rPr>
              <w:t>（1）地下水环境</w:t>
            </w:r>
          </w:p>
          <w:p w14:paraId="01382A54">
            <w:pPr>
              <w:ind w:firstLine="480"/>
              <w:rPr>
                <w:color w:val="FF0000"/>
              </w:rPr>
            </w:pPr>
            <w:r>
              <w:rPr>
                <w:rFonts w:hint="eastAsia"/>
              </w:rPr>
              <w:t>本项目不涉及生产用水，生活污水经化粪池处理后由市政污水管网排放至闽侯县城关污水处理厂。项目生活污水不含有毒有害污染物，不含重金属等污染物，正常工况下生活污水渗漏和进入地下水造成环境污染的可能性很小。根据现场调查，项目周边区域已全部开通自来水管网、生活用水采用自来水。拟建项目未对地下水进行开采，运营期间用水由市政管网供水，不会对地下水水位产生影响。</w:t>
            </w:r>
          </w:p>
          <w:p w14:paraId="22C6B47F">
            <w:pPr>
              <w:ind w:firstLine="480"/>
            </w:pPr>
            <w:r>
              <w:rPr>
                <w:rFonts w:hint="eastAsia"/>
              </w:rPr>
              <w:t>（2）土壤环境</w:t>
            </w:r>
          </w:p>
          <w:p w14:paraId="6D020FB8">
            <w:pPr>
              <w:ind w:firstLine="480"/>
              <w:rPr>
                <w:color w:val="FF0000"/>
              </w:rPr>
            </w:pPr>
            <w:r>
              <w:rPr>
                <w:rFonts w:hint="eastAsia"/>
              </w:rPr>
              <w:t>本项目不涉及大气沉降污染物，厂区地面已整体硬化，正常情况下对土壤环境无影响。</w:t>
            </w:r>
          </w:p>
          <w:p w14:paraId="301C1804">
            <w:pPr>
              <w:keepNext/>
              <w:keepLines/>
              <w:ind w:firstLine="0" w:firstLineChars="0"/>
              <w:jc w:val="left"/>
              <w:outlineLvl w:val="2"/>
              <w:rPr>
                <w:b/>
                <w:bCs/>
                <w:sz w:val="28"/>
                <w:szCs w:val="32"/>
              </w:rPr>
            </w:pPr>
            <w:r>
              <w:rPr>
                <w:rFonts w:hint="eastAsia"/>
                <w:b/>
                <w:bCs/>
                <w:sz w:val="28"/>
                <w:szCs w:val="32"/>
              </w:rPr>
              <w:t>4.3.2地下水、土壤环境防控措施</w:t>
            </w:r>
          </w:p>
          <w:p w14:paraId="5CC0FC65">
            <w:pPr>
              <w:ind w:firstLine="480"/>
            </w:pPr>
            <w:r>
              <w:rPr>
                <w:rFonts w:hint="eastAsia"/>
              </w:rPr>
              <w:t>（1）防渗措施</w:t>
            </w:r>
          </w:p>
          <w:p w14:paraId="41C90893">
            <w:pPr>
              <w:ind w:firstLine="480"/>
            </w:pPr>
            <w:r>
              <w:rPr>
                <w:rFonts w:hint="eastAsia"/>
              </w:rPr>
              <w:t>项目未产生危险废物，根据本项目可能泄漏至地面区域污染物的性质和生产单元的构筑方式，将厂区划分为一般污染防治区和简单防渗区，针对不同的区域提出相应的防渗要求。根据《环境影响评价技术导则地下水环境》（HJ610-2016）的要求，项目分区防渗防治要求见表4.3-1。</w:t>
            </w:r>
          </w:p>
          <w:p w14:paraId="12B6E051">
            <w:pPr>
              <w:spacing w:before="120" w:beforeLines="50" w:line="240" w:lineRule="auto"/>
              <w:ind w:firstLine="0" w:firstLineChars="0"/>
              <w:jc w:val="center"/>
              <w:rPr>
                <w:b/>
                <w:bCs/>
              </w:rPr>
            </w:pPr>
            <w:r>
              <w:rPr>
                <w:rFonts w:hint="eastAsia"/>
                <w:b/>
                <w:bCs/>
              </w:rPr>
              <w:t>表4.3-1项目分区防渗防治要求一览表</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16"/>
              <w:gridCol w:w="2316"/>
              <w:gridCol w:w="2316"/>
              <w:gridCol w:w="2316"/>
            </w:tblGrid>
            <w:tr w14:paraId="1CE58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tcBorders>
                    <w:tl2br w:val="nil"/>
                    <w:tr2bl w:val="nil"/>
                  </w:tcBorders>
                  <w:vAlign w:val="center"/>
                </w:tcPr>
                <w:p w14:paraId="05626F2D">
                  <w:pPr>
                    <w:spacing w:line="340" w:lineRule="exact"/>
                    <w:ind w:firstLine="0" w:firstLineChars="0"/>
                    <w:jc w:val="center"/>
                    <w:rPr>
                      <w:b/>
                      <w:bCs/>
                      <w:sz w:val="21"/>
                      <w:szCs w:val="21"/>
                      <w:lang w:eastAsia="en-US" w:bidi="ar"/>
                    </w:rPr>
                  </w:pPr>
                  <w:r>
                    <w:rPr>
                      <w:rFonts w:hint="eastAsia"/>
                      <w:b/>
                      <w:bCs/>
                      <w:sz w:val="21"/>
                      <w:szCs w:val="21"/>
                      <w:lang w:bidi="ar"/>
                    </w:rPr>
                    <w:t>防治分区</w:t>
                  </w:r>
                </w:p>
              </w:tc>
              <w:tc>
                <w:tcPr>
                  <w:tcW w:w="1250" w:type="pct"/>
                  <w:tcBorders>
                    <w:tl2br w:val="nil"/>
                    <w:tr2bl w:val="nil"/>
                  </w:tcBorders>
                  <w:vAlign w:val="center"/>
                </w:tcPr>
                <w:p w14:paraId="45E9012B">
                  <w:pPr>
                    <w:spacing w:line="340" w:lineRule="exact"/>
                    <w:ind w:firstLine="0" w:firstLineChars="0"/>
                    <w:jc w:val="center"/>
                    <w:rPr>
                      <w:b/>
                      <w:bCs/>
                      <w:sz w:val="21"/>
                      <w:szCs w:val="21"/>
                      <w:lang w:eastAsia="en-US" w:bidi="ar"/>
                    </w:rPr>
                  </w:pPr>
                  <w:r>
                    <w:rPr>
                      <w:rFonts w:hint="eastAsia"/>
                      <w:b/>
                      <w:bCs/>
                      <w:sz w:val="21"/>
                      <w:szCs w:val="21"/>
                      <w:lang w:bidi="ar"/>
                    </w:rPr>
                    <w:t>装置名称</w:t>
                  </w:r>
                </w:p>
              </w:tc>
              <w:tc>
                <w:tcPr>
                  <w:tcW w:w="1250" w:type="pct"/>
                  <w:tcBorders>
                    <w:tl2br w:val="nil"/>
                    <w:tr2bl w:val="nil"/>
                  </w:tcBorders>
                  <w:vAlign w:val="center"/>
                </w:tcPr>
                <w:p w14:paraId="3585E7E5">
                  <w:pPr>
                    <w:spacing w:line="340" w:lineRule="exact"/>
                    <w:ind w:firstLine="0" w:firstLineChars="0"/>
                    <w:jc w:val="center"/>
                    <w:rPr>
                      <w:b/>
                      <w:bCs/>
                      <w:sz w:val="21"/>
                      <w:szCs w:val="21"/>
                      <w:lang w:eastAsia="en-US" w:bidi="ar"/>
                    </w:rPr>
                  </w:pPr>
                  <w:r>
                    <w:rPr>
                      <w:rFonts w:hint="eastAsia"/>
                      <w:b/>
                      <w:bCs/>
                      <w:sz w:val="21"/>
                      <w:szCs w:val="21"/>
                      <w:lang w:bidi="ar"/>
                    </w:rPr>
                    <w:t>防渗区域</w:t>
                  </w:r>
                </w:p>
              </w:tc>
              <w:tc>
                <w:tcPr>
                  <w:tcW w:w="1250" w:type="pct"/>
                  <w:tcBorders>
                    <w:tl2br w:val="nil"/>
                    <w:tr2bl w:val="nil"/>
                  </w:tcBorders>
                  <w:vAlign w:val="center"/>
                </w:tcPr>
                <w:p w14:paraId="6FD22D9B">
                  <w:pPr>
                    <w:spacing w:line="340" w:lineRule="exact"/>
                    <w:ind w:firstLine="0" w:firstLineChars="0"/>
                    <w:jc w:val="center"/>
                    <w:rPr>
                      <w:b/>
                      <w:bCs/>
                      <w:sz w:val="21"/>
                      <w:szCs w:val="21"/>
                      <w:lang w:eastAsia="en-US" w:bidi="ar"/>
                    </w:rPr>
                  </w:pPr>
                  <w:r>
                    <w:rPr>
                      <w:rFonts w:hint="eastAsia"/>
                      <w:b/>
                      <w:bCs/>
                      <w:sz w:val="21"/>
                      <w:szCs w:val="21"/>
                      <w:lang w:bidi="ar"/>
                    </w:rPr>
                    <w:t>防渗要求</w:t>
                  </w:r>
                </w:p>
              </w:tc>
            </w:tr>
            <w:tr w14:paraId="7C1A8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restart"/>
                  <w:tcBorders>
                    <w:tl2br w:val="nil"/>
                    <w:tr2bl w:val="nil"/>
                  </w:tcBorders>
                  <w:vAlign w:val="center"/>
                </w:tcPr>
                <w:p w14:paraId="06A53856">
                  <w:pPr>
                    <w:spacing w:line="340" w:lineRule="exact"/>
                    <w:ind w:firstLine="0" w:firstLineChars="0"/>
                    <w:jc w:val="center"/>
                    <w:rPr>
                      <w:sz w:val="21"/>
                      <w:szCs w:val="21"/>
                      <w:lang w:bidi="ar"/>
                    </w:rPr>
                  </w:pPr>
                  <w:r>
                    <w:rPr>
                      <w:rFonts w:hint="eastAsia"/>
                      <w:sz w:val="21"/>
                      <w:szCs w:val="21"/>
                      <w:lang w:bidi="ar"/>
                    </w:rPr>
                    <w:t>一般防渗区</w:t>
                  </w:r>
                </w:p>
              </w:tc>
              <w:tc>
                <w:tcPr>
                  <w:tcW w:w="1250" w:type="pct"/>
                  <w:tcBorders>
                    <w:tl2br w:val="nil"/>
                    <w:tr2bl w:val="nil"/>
                  </w:tcBorders>
                  <w:vAlign w:val="center"/>
                </w:tcPr>
                <w:p w14:paraId="50E47CDB">
                  <w:pPr>
                    <w:spacing w:line="340" w:lineRule="exact"/>
                    <w:ind w:firstLine="0" w:firstLineChars="0"/>
                    <w:jc w:val="center"/>
                    <w:rPr>
                      <w:sz w:val="21"/>
                      <w:szCs w:val="21"/>
                      <w:lang w:eastAsia="en-US" w:bidi="ar"/>
                    </w:rPr>
                  </w:pPr>
                  <w:r>
                    <w:rPr>
                      <w:rFonts w:hint="eastAsia"/>
                      <w:sz w:val="21"/>
                      <w:szCs w:val="21"/>
                      <w:lang w:bidi="ar"/>
                    </w:rPr>
                    <w:t>生产车间</w:t>
                  </w:r>
                </w:p>
              </w:tc>
              <w:tc>
                <w:tcPr>
                  <w:tcW w:w="1250" w:type="pct"/>
                  <w:tcBorders>
                    <w:tl2br w:val="nil"/>
                    <w:tr2bl w:val="nil"/>
                  </w:tcBorders>
                  <w:vAlign w:val="center"/>
                </w:tcPr>
                <w:p w14:paraId="3D4F7C95">
                  <w:pPr>
                    <w:spacing w:line="340" w:lineRule="exact"/>
                    <w:ind w:firstLine="0" w:firstLineChars="0"/>
                    <w:jc w:val="center"/>
                    <w:rPr>
                      <w:sz w:val="21"/>
                      <w:szCs w:val="21"/>
                      <w:lang w:eastAsia="en-US" w:bidi="ar"/>
                    </w:rPr>
                  </w:pPr>
                  <w:r>
                    <w:rPr>
                      <w:rFonts w:hint="eastAsia"/>
                      <w:sz w:val="21"/>
                      <w:szCs w:val="21"/>
                      <w:lang w:bidi="ar"/>
                    </w:rPr>
                    <w:t>车间地面</w:t>
                  </w:r>
                </w:p>
              </w:tc>
              <w:tc>
                <w:tcPr>
                  <w:tcW w:w="1250" w:type="pct"/>
                  <w:vMerge w:val="restart"/>
                  <w:tcBorders>
                    <w:tl2br w:val="nil"/>
                    <w:tr2bl w:val="nil"/>
                  </w:tcBorders>
                  <w:vAlign w:val="center"/>
                </w:tcPr>
                <w:p w14:paraId="3984BEA5">
                  <w:pPr>
                    <w:spacing w:line="340" w:lineRule="exact"/>
                    <w:ind w:firstLine="0" w:firstLineChars="0"/>
                    <w:jc w:val="center"/>
                    <w:rPr>
                      <w:sz w:val="21"/>
                      <w:szCs w:val="21"/>
                      <w:lang w:bidi="ar"/>
                    </w:rPr>
                  </w:pPr>
                  <w:r>
                    <w:rPr>
                      <w:rFonts w:hint="eastAsia"/>
                      <w:sz w:val="21"/>
                      <w:szCs w:val="21"/>
                      <w:lang w:bidi="ar"/>
                    </w:rPr>
                    <w:t>等效黏土防渗层Mb≥1.5m、渗透系数K≤1.0×10</w:t>
                  </w:r>
                  <w:r>
                    <w:rPr>
                      <w:rFonts w:hint="eastAsia"/>
                      <w:sz w:val="21"/>
                      <w:szCs w:val="21"/>
                      <w:vertAlign w:val="superscript"/>
                      <w:lang w:bidi="ar"/>
                    </w:rPr>
                    <w:t>-7</w:t>
                  </w:r>
                  <w:r>
                    <w:rPr>
                      <w:rFonts w:hint="eastAsia"/>
                      <w:sz w:val="21"/>
                      <w:szCs w:val="21"/>
                      <w:lang w:bidi="ar"/>
                    </w:rPr>
                    <w:t>cm/s</w:t>
                  </w:r>
                </w:p>
              </w:tc>
            </w:tr>
            <w:tr w14:paraId="4FD99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tcBorders>
                    <w:tl2br w:val="nil"/>
                    <w:tr2bl w:val="nil"/>
                  </w:tcBorders>
                  <w:vAlign w:val="center"/>
                </w:tcPr>
                <w:p w14:paraId="79FCFFE7">
                  <w:pPr>
                    <w:spacing w:line="340" w:lineRule="exact"/>
                    <w:ind w:firstLine="0" w:firstLineChars="0"/>
                    <w:jc w:val="center"/>
                    <w:rPr>
                      <w:sz w:val="21"/>
                      <w:szCs w:val="21"/>
                      <w:lang w:bidi="ar"/>
                    </w:rPr>
                  </w:pPr>
                </w:p>
              </w:tc>
              <w:tc>
                <w:tcPr>
                  <w:tcW w:w="1250" w:type="pct"/>
                  <w:tcBorders>
                    <w:tl2br w:val="nil"/>
                    <w:tr2bl w:val="nil"/>
                  </w:tcBorders>
                  <w:vAlign w:val="center"/>
                </w:tcPr>
                <w:p w14:paraId="79A91C7E">
                  <w:pPr>
                    <w:spacing w:line="340" w:lineRule="exact"/>
                    <w:ind w:firstLine="0" w:firstLineChars="0"/>
                    <w:jc w:val="center"/>
                    <w:rPr>
                      <w:sz w:val="21"/>
                      <w:szCs w:val="21"/>
                      <w:lang w:eastAsia="en-US" w:bidi="ar"/>
                    </w:rPr>
                  </w:pPr>
                  <w:r>
                    <w:rPr>
                      <w:rFonts w:hint="eastAsia"/>
                      <w:sz w:val="21"/>
                      <w:szCs w:val="21"/>
                      <w:lang w:bidi="ar"/>
                    </w:rPr>
                    <w:t>一般工业固废暂存点</w:t>
                  </w:r>
                </w:p>
              </w:tc>
              <w:tc>
                <w:tcPr>
                  <w:tcW w:w="1250" w:type="pct"/>
                  <w:tcBorders>
                    <w:tl2br w:val="nil"/>
                    <w:tr2bl w:val="nil"/>
                  </w:tcBorders>
                  <w:vAlign w:val="center"/>
                </w:tcPr>
                <w:p w14:paraId="0228731B">
                  <w:pPr>
                    <w:spacing w:line="340" w:lineRule="exact"/>
                    <w:ind w:firstLine="0" w:firstLineChars="0"/>
                    <w:jc w:val="center"/>
                    <w:rPr>
                      <w:sz w:val="21"/>
                      <w:szCs w:val="21"/>
                      <w:lang w:eastAsia="en-US" w:bidi="ar"/>
                    </w:rPr>
                  </w:pPr>
                  <w:r>
                    <w:rPr>
                      <w:rFonts w:hint="eastAsia"/>
                      <w:sz w:val="21"/>
                      <w:szCs w:val="21"/>
                      <w:lang w:bidi="ar"/>
                    </w:rPr>
                    <w:t>车间地面</w:t>
                  </w:r>
                </w:p>
              </w:tc>
              <w:tc>
                <w:tcPr>
                  <w:tcW w:w="1250" w:type="pct"/>
                  <w:vMerge w:val="continue"/>
                  <w:tcBorders>
                    <w:tl2br w:val="nil"/>
                    <w:tr2bl w:val="nil"/>
                  </w:tcBorders>
                  <w:vAlign w:val="center"/>
                </w:tcPr>
                <w:p w14:paraId="2DDE0935">
                  <w:pPr>
                    <w:spacing w:line="340" w:lineRule="exact"/>
                    <w:ind w:firstLine="0" w:firstLineChars="0"/>
                    <w:jc w:val="center"/>
                    <w:rPr>
                      <w:sz w:val="21"/>
                      <w:szCs w:val="21"/>
                      <w:lang w:bidi="ar"/>
                    </w:rPr>
                  </w:pPr>
                </w:p>
              </w:tc>
            </w:tr>
            <w:tr w14:paraId="3FEA3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tcBorders>
                    <w:tl2br w:val="nil"/>
                    <w:tr2bl w:val="nil"/>
                  </w:tcBorders>
                  <w:vAlign w:val="center"/>
                </w:tcPr>
                <w:p w14:paraId="01E6191C">
                  <w:pPr>
                    <w:spacing w:line="340" w:lineRule="exact"/>
                    <w:ind w:firstLine="0" w:firstLineChars="0"/>
                    <w:jc w:val="center"/>
                    <w:rPr>
                      <w:sz w:val="21"/>
                      <w:szCs w:val="21"/>
                      <w:lang w:eastAsia="en-US" w:bidi="ar"/>
                    </w:rPr>
                  </w:pPr>
                  <w:r>
                    <w:rPr>
                      <w:rFonts w:hint="eastAsia"/>
                      <w:sz w:val="21"/>
                      <w:szCs w:val="21"/>
                      <w:lang w:bidi="ar"/>
                    </w:rPr>
                    <w:t>简单防渗区</w:t>
                  </w:r>
                </w:p>
              </w:tc>
              <w:tc>
                <w:tcPr>
                  <w:tcW w:w="1250" w:type="pct"/>
                  <w:tcBorders>
                    <w:tl2br w:val="nil"/>
                    <w:tr2bl w:val="nil"/>
                  </w:tcBorders>
                  <w:vAlign w:val="center"/>
                </w:tcPr>
                <w:p w14:paraId="3A3BFEE5">
                  <w:pPr>
                    <w:spacing w:line="340" w:lineRule="exact"/>
                    <w:ind w:firstLine="0" w:firstLineChars="0"/>
                    <w:jc w:val="center"/>
                    <w:rPr>
                      <w:sz w:val="21"/>
                      <w:szCs w:val="21"/>
                      <w:lang w:bidi="ar"/>
                    </w:rPr>
                  </w:pPr>
                  <w:r>
                    <w:rPr>
                      <w:rFonts w:hint="eastAsia"/>
                      <w:sz w:val="21"/>
                      <w:szCs w:val="21"/>
                      <w:lang w:bidi="ar"/>
                    </w:rPr>
                    <w:t>原料存放区、成品仓库等</w:t>
                  </w:r>
                </w:p>
              </w:tc>
              <w:tc>
                <w:tcPr>
                  <w:tcW w:w="1250" w:type="pct"/>
                  <w:tcBorders>
                    <w:tl2br w:val="nil"/>
                    <w:tr2bl w:val="nil"/>
                  </w:tcBorders>
                  <w:vAlign w:val="center"/>
                </w:tcPr>
                <w:p w14:paraId="178017DA">
                  <w:pPr>
                    <w:spacing w:line="340" w:lineRule="exact"/>
                    <w:ind w:firstLine="0" w:firstLineChars="0"/>
                    <w:jc w:val="center"/>
                    <w:rPr>
                      <w:sz w:val="21"/>
                      <w:szCs w:val="21"/>
                      <w:lang w:bidi="ar"/>
                    </w:rPr>
                  </w:pPr>
                  <w:r>
                    <w:rPr>
                      <w:rFonts w:hint="eastAsia"/>
                      <w:sz w:val="21"/>
                      <w:szCs w:val="21"/>
                      <w:lang w:bidi="ar"/>
                    </w:rPr>
                    <w:t>车间地面</w:t>
                  </w:r>
                </w:p>
              </w:tc>
              <w:tc>
                <w:tcPr>
                  <w:tcW w:w="1250" w:type="pct"/>
                  <w:tcBorders>
                    <w:tl2br w:val="nil"/>
                    <w:tr2bl w:val="nil"/>
                  </w:tcBorders>
                  <w:vAlign w:val="center"/>
                </w:tcPr>
                <w:p w14:paraId="13B96610">
                  <w:pPr>
                    <w:spacing w:line="340" w:lineRule="exact"/>
                    <w:ind w:firstLine="0" w:firstLineChars="0"/>
                    <w:jc w:val="center"/>
                    <w:rPr>
                      <w:sz w:val="21"/>
                      <w:szCs w:val="21"/>
                      <w:lang w:bidi="ar"/>
                    </w:rPr>
                  </w:pPr>
                  <w:r>
                    <w:rPr>
                      <w:rFonts w:hint="eastAsia"/>
                      <w:sz w:val="21"/>
                      <w:szCs w:val="21"/>
                      <w:lang w:bidi="ar"/>
                    </w:rPr>
                    <w:t>一般地面硬化</w:t>
                  </w:r>
                </w:p>
              </w:tc>
            </w:tr>
          </w:tbl>
          <w:p w14:paraId="6C9FDA0C">
            <w:pPr>
              <w:ind w:firstLine="480"/>
              <w:jc w:val="left"/>
              <w:rPr>
                <w:kern w:val="0"/>
                <w:szCs w:val="20"/>
              </w:rPr>
            </w:pPr>
            <w:r>
              <w:rPr>
                <w:rFonts w:hint="eastAsia"/>
                <w:kern w:val="0"/>
                <w:szCs w:val="20"/>
              </w:rPr>
              <w:t>（2）监控措施</w:t>
            </w:r>
          </w:p>
          <w:p w14:paraId="66C11764">
            <w:pPr>
              <w:ind w:firstLine="480"/>
              <w:jc w:val="left"/>
              <w:rPr>
                <w:kern w:val="0"/>
                <w:szCs w:val="20"/>
              </w:rPr>
            </w:pPr>
            <w:r>
              <w:rPr>
                <w:rFonts w:hint="eastAsia"/>
                <w:kern w:val="0"/>
                <w:szCs w:val="20"/>
              </w:rPr>
              <w:t>①建立健全环境管理和监测制度，保证各环保设施正常运转，同时强化风险防范意识，如遇环保设施不能正常运转，应立即停产检修；</w:t>
            </w:r>
          </w:p>
          <w:p w14:paraId="2AD6C381">
            <w:pPr>
              <w:ind w:firstLine="480"/>
              <w:jc w:val="left"/>
              <w:rPr>
                <w:kern w:val="0"/>
                <w:szCs w:val="20"/>
              </w:rPr>
            </w:pPr>
            <w:r>
              <w:rPr>
                <w:rFonts w:hint="eastAsia"/>
                <w:kern w:val="0"/>
                <w:szCs w:val="20"/>
              </w:rPr>
              <w:t>②设置专门管理制度，加强对原辅材料的规范化管理，定期巡查维护环保设施的运行情况，及时处理非正常运行情况；</w:t>
            </w:r>
          </w:p>
          <w:p w14:paraId="23D7E964">
            <w:pPr>
              <w:ind w:firstLine="480"/>
              <w:jc w:val="left"/>
              <w:rPr>
                <w:kern w:val="0"/>
                <w:szCs w:val="20"/>
              </w:rPr>
            </w:pPr>
            <w:r>
              <w:rPr>
                <w:rFonts w:hint="eastAsia"/>
                <w:kern w:val="0"/>
                <w:szCs w:val="20"/>
              </w:rPr>
              <w:t>③在今后的生产活动中，做好设备的维护、检修，杜绝跑、冒、滴、漏现象。同时，加强污染物产生主要环节的收集治理，加强厂区的安全防</w:t>
            </w:r>
            <w:r>
              <w:rPr>
                <w:rFonts w:hint="eastAsia"/>
                <w:kern w:val="0"/>
                <w:szCs w:val="20"/>
                <w:lang w:eastAsia="zh-CN"/>
              </w:rPr>
              <w:t>护和</w:t>
            </w:r>
            <w:r>
              <w:rPr>
                <w:rFonts w:hint="eastAsia"/>
                <w:kern w:val="0"/>
                <w:szCs w:val="20"/>
              </w:rPr>
              <w:t>环境风险防范措施，以便及时发现事故隐患，及时采取有效的应对措施。</w:t>
            </w:r>
          </w:p>
          <w:p w14:paraId="5B96E5C6">
            <w:pPr>
              <w:ind w:firstLine="480"/>
              <w:jc w:val="left"/>
              <w:rPr>
                <w:kern w:val="0"/>
                <w:szCs w:val="20"/>
              </w:rPr>
            </w:pPr>
            <w:r>
              <w:rPr>
                <w:rFonts w:hint="eastAsia"/>
                <w:kern w:val="0"/>
                <w:szCs w:val="20"/>
              </w:rPr>
              <w:t>④项目生产经营用地的用途变更或者在其土地使用权收回、转让前，应当由土地使用权人按照规定进行土壤污染状况调查</w:t>
            </w:r>
          </w:p>
          <w:p w14:paraId="6E2A6E2A">
            <w:pPr>
              <w:ind w:firstLine="480"/>
              <w:jc w:val="left"/>
              <w:rPr>
                <w:b/>
                <w:bCs/>
              </w:rPr>
            </w:pPr>
            <w:r>
              <w:rPr>
                <w:rFonts w:hint="eastAsia"/>
                <w:kern w:val="0"/>
                <w:szCs w:val="20"/>
              </w:rPr>
              <w:t>综上所述，加强项目运行过程中环境管理，则项目实施对厂区及周边地下水、土壤环境的影响可控。</w:t>
            </w:r>
          </w:p>
          <w:p w14:paraId="3AFACE74">
            <w:pPr>
              <w:keepNext/>
              <w:keepLines/>
              <w:ind w:firstLine="0" w:firstLineChars="0"/>
              <w:jc w:val="left"/>
              <w:outlineLvl w:val="1"/>
              <w:rPr>
                <w:b/>
                <w:bCs/>
                <w:sz w:val="30"/>
                <w:szCs w:val="32"/>
              </w:rPr>
            </w:pPr>
            <w:r>
              <w:rPr>
                <w:b/>
                <w:bCs/>
                <w:sz w:val="30"/>
                <w:szCs w:val="32"/>
              </w:rPr>
              <w:t>4.</w:t>
            </w:r>
            <w:r>
              <w:rPr>
                <w:rFonts w:hint="eastAsia"/>
                <w:b/>
                <w:bCs/>
                <w:sz w:val="30"/>
                <w:szCs w:val="32"/>
              </w:rPr>
              <w:t>4</w:t>
            </w:r>
            <w:r>
              <w:rPr>
                <w:b/>
                <w:bCs/>
                <w:sz w:val="30"/>
                <w:szCs w:val="32"/>
              </w:rPr>
              <w:t>环境风险</w:t>
            </w:r>
            <w:r>
              <w:rPr>
                <w:rFonts w:hint="eastAsia"/>
                <w:b/>
                <w:bCs/>
                <w:sz w:val="30"/>
                <w:szCs w:val="32"/>
              </w:rPr>
              <w:t>分析</w:t>
            </w:r>
          </w:p>
          <w:p w14:paraId="6BC31FE6">
            <w:pPr>
              <w:keepNext/>
              <w:keepLines/>
              <w:ind w:firstLine="0" w:firstLineChars="0"/>
              <w:jc w:val="left"/>
              <w:outlineLvl w:val="2"/>
              <w:rPr>
                <w:b/>
                <w:bCs/>
                <w:sz w:val="28"/>
                <w:szCs w:val="32"/>
              </w:rPr>
            </w:pPr>
            <w:r>
              <w:rPr>
                <w:b/>
                <w:bCs/>
                <w:sz w:val="28"/>
                <w:szCs w:val="32"/>
              </w:rPr>
              <w:t>4.</w:t>
            </w:r>
            <w:r>
              <w:rPr>
                <w:rFonts w:hint="eastAsia"/>
                <w:b/>
                <w:bCs/>
                <w:sz w:val="28"/>
                <w:szCs w:val="32"/>
              </w:rPr>
              <w:t>4</w:t>
            </w:r>
            <w:r>
              <w:rPr>
                <w:b/>
                <w:bCs/>
                <w:sz w:val="28"/>
                <w:szCs w:val="32"/>
              </w:rPr>
              <w:t>.1环境风险</w:t>
            </w:r>
            <w:r>
              <w:rPr>
                <w:rFonts w:hint="eastAsia"/>
                <w:b/>
                <w:bCs/>
                <w:sz w:val="28"/>
                <w:szCs w:val="32"/>
              </w:rPr>
              <w:t>源识别</w:t>
            </w:r>
          </w:p>
          <w:p w14:paraId="6B232E5B">
            <w:pPr>
              <w:ind w:firstLine="480"/>
              <w:rPr>
                <w:kern w:val="0"/>
                <w:szCs w:val="20"/>
              </w:rPr>
            </w:pPr>
            <w:r>
              <w:rPr>
                <w:rFonts w:hint="eastAsia"/>
                <w:kern w:val="0"/>
                <w:szCs w:val="20"/>
              </w:rPr>
              <w:t>参照</w:t>
            </w:r>
            <w:r>
              <w:rPr>
                <w:kern w:val="0"/>
                <w:szCs w:val="20"/>
              </w:rPr>
              <w:t>《企业突发环境事件风险分级方法》（HJ941-2018）附录A中突发环境事件风险物质及临界量清单和《建设项目环境风险评价技术导则》（HJ169-2018）附录B中的</w:t>
            </w:r>
            <w:r>
              <w:rPr>
                <w:rFonts w:hint="eastAsia"/>
                <w:kern w:val="0"/>
                <w:szCs w:val="20"/>
              </w:rPr>
              <w:t>“</w:t>
            </w:r>
            <w:r>
              <w:rPr>
                <w:kern w:val="0"/>
                <w:szCs w:val="20"/>
              </w:rPr>
              <w:t>重点关注的危险物质及临界量</w:t>
            </w:r>
            <w:r>
              <w:rPr>
                <w:rFonts w:hint="eastAsia"/>
                <w:kern w:val="0"/>
                <w:szCs w:val="20"/>
              </w:rPr>
              <w:t>”</w:t>
            </w:r>
            <w:r>
              <w:rPr>
                <w:kern w:val="0"/>
                <w:szCs w:val="20"/>
              </w:rPr>
              <w:t>，本项目</w:t>
            </w:r>
            <w:r>
              <w:rPr>
                <w:rFonts w:hint="eastAsia"/>
                <w:kern w:val="0"/>
                <w:szCs w:val="20"/>
              </w:rPr>
              <w:t>无</w:t>
            </w:r>
            <w:r>
              <w:rPr>
                <w:kern w:val="0"/>
                <w:szCs w:val="20"/>
              </w:rPr>
              <w:t>风险物质。</w:t>
            </w:r>
          </w:p>
          <w:p w14:paraId="13281956">
            <w:pPr>
              <w:keepNext/>
              <w:keepLines/>
              <w:ind w:firstLine="0" w:firstLineChars="0"/>
              <w:jc w:val="left"/>
              <w:outlineLvl w:val="2"/>
              <w:rPr>
                <w:b/>
                <w:bCs/>
                <w:sz w:val="28"/>
                <w:szCs w:val="32"/>
              </w:rPr>
            </w:pPr>
            <w:r>
              <w:rPr>
                <w:rFonts w:hint="eastAsia"/>
                <w:b/>
                <w:bCs/>
                <w:sz w:val="28"/>
                <w:szCs w:val="32"/>
              </w:rPr>
              <w:t>4.4.2环境风险识别</w:t>
            </w:r>
          </w:p>
          <w:p w14:paraId="4F757B73">
            <w:pPr>
              <w:ind w:firstLine="480"/>
            </w:pPr>
            <w:r>
              <w:rPr>
                <w:rFonts w:hint="eastAsia"/>
              </w:rPr>
              <w:t>本项目无危险物质，项目潜在环境风险事故识别结果见下表4.4-1。</w:t>
            </w:r>
          </w:p>
          <w:p w14:paraId="1006E508">
            <w:pPr>
              <w:spacing w:before="120" w:beforeLines="50" w:line="240" w:lineRule="auto"/>
              <w:ind w:firstLine="0" w:firstLineChars="0"/>
              <w:jc w:val="center"/>
            </w:pPr>
            <w:r>
              <w:rPr>
                <w:rFonts w:hint="eastAsia"/>
                <w:b/>
                <w:bCs/>
              </w:rPr>
              <w:t>表4.4-1  项目危险物质潜在环境风险事故一览表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2745"/>
              <w:gridCol w:w="4115"/>
              <w:gridCol w:w="1439"/>
            </w:tblGrid>
            <w:tr w14:paraId="228C3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pct"/>
                  <w:tcBorders>
                    <w:top w:val="single" w:color="auto" w:sz="12" w:space="0"/>
                    <w:left w:val="nil"/>
                  </w:tcBorders>
                  <w:vAlign w:val="center"/>
                </w:tcPr>
                <w:p w14:paraId="2BDE9F0C">
                  <w:pPr>
                    <w:spacing w:line="340" w:lineRule="exact"/>
                    <w:ind w:firstLine="0" w:firstLineChars="0"/>
                    <w:jc w:val="center"/>
                    <w:rPr>
                      <w:b/>
                      <w:bCs/>
                      <w:sz w:val="21"/>
                      <w:szCs w:val="21"/>
                      <w:lang w:bidi="ar"/>
                    </w:rPr>
                  </w:pPr>
                  <w:r>
                    <w:rPr>
                      <w:rFonts w:hint="eastAsia"/>
                      <w:b/>
                      <w:bCs/>
                      <w:sz w:val="21"/>
                      <w:szCs w:val="21"/>
                      <w:lang w:bidi="ar"/>
                    </w:rPr>
                    <w:t>潜在事故类型</w:t>
                  </w:r>
                </w:p>
              </w:tc>
              <w:tc>
                <w:tcPr>
                  <w:tcW w:w="1482" w:type="pct"/>
                  <w:tcBorders>
                    <w:top w:val="single" w:color="auto" w:sz="12" w:space="0"/>
                  </w:tcBorders>
                  <w:vAlign w:val="center"/>
                </w:tcPr>
                <w:p w14:paraId="41B65F01">
                  <w:pPr>
                    <w:spacing w:line="340" w:lineRule="exact"/>
                    <w:ind w:firstLine="0" w:firstLineChars="0"/>
                    <w:jc w:val="center"/>
                    <w:rPr>
                      <w:b/>
                      <w:bCs/>
                      <w:sz w:val="21"/>
                      <w:szCs w:val="21"/>
                      <w:lang w:bidi="ar"/>
                    </w:rPr>
                  </w:pPr>
                  <w:r>
                    <w:rPr>
                      <w:rFonts w:hint="eastAsia"/>
                      <w:b/>
                      <w:bCs/>
                      <w:sz w:val="21"/>
                      <w:szCs w:val="21"/>
                      <w:lang w:bidi="ar"/>
                    </w:rPr>
                    <w:t>事故原因</w:t>
                  </w:r>
                </w:p>
              </w:tc>
              <w:tc>
                <w:tcPr>
                  <w:tcW w:w="2222" w:type="pct"/>
                  <w:tcBorders>
                    <w:top w:val="single" w:color="auto" w:sz="12" w:space="0"/>
                  </w:tcBorders>
                  <w:vAlign w:val="center"/>
                </w:tcPr>
                <w:p w14:paraId="32407AB3">
                  <w:pPr>
                    <w:spacing w:line="340" w:lineRule="exact"/>
                    <w:ind w:firstLine="0" w:firstLineChars="0"/>
                    <w:jc w:val="center"/>
                    <w:rPr>
                      <w:b/>
                      <w:bCs/>
                      <w:sz w:val="21"/>
                      <w:szCs w:val="21"/>
                      <w:lang w:bidi="ar"/>
                    </w:rPr>
                  </w:pPr>
                  <w:r>
                    <w:rPr>
                      <w:rFonts w:hint="eastAsia"/>
                      <w:b/>
                      <w:bCs/>
                      <w:sz w:val="21"/>
                      <w:szCs w:val="21"/>
                      <w:lang w:bidi="ar"/>
                    </w:rPr>
                    <w:t>影响途径</w:t>
                  </w:r>
                </w:p>
              </w:tc>
              <w:tc>
                <w:tcPr>
                  <w:tcW w:w="778" w:type="pct"/>
                  <w:tcBorders>
                    <w:top w:val="single" w:color="auto" w:sz="12" w:space="0"/>
                    <w:right w:val="nil"/>
                  </w:tcBorders>
                  <w:vAlign w:val="center"/>
                </w:tcPr>
                <w:p w14:paraId="7C373AEF">
                  <w:pPr>
                    <w:spacing w:line="340" w:lineRule="exact"/>
                    <w:ind w:firstLine="0" w:firstLineChars="0"/>
                    <w:jc w:val="center"/>
                    <w:rPr>
                      <w:b/>
                      <w:bCs/>
                      <w:sz w:val="21"/>
                      <w:szCs w:val="21"/>
                      <w:lang w:bidi="ar"/>
                    </w:rPr>
                  </w:pPr>
                  <w:r>
                    <w:rPr>
                      <w:rFonts w:hint="eastAsia"/>
                      <w:b/>
                      <w:bCs/>
                      <w:sz w:val="21"/>
                      <w:szCs w:val="21"/>
                      <w:lang w:bidi="ar"/>
                    </w:rPr>
                    <w:t>影响程度</w:t>
                  </w:r>
                </w:p>
              </w:tc>
            </w:tr>
            <w:tr w14:paraId="3EB73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pct"/>
                  <w:tcBorders>
                    <w:left w:val="nil"/>
                  </w:tcBorders>
                  <w:vAlign w:val="center"/>
                </w:tcPr>
                <w:p w14:paraId="0CE23B92">
                  <w:pPr>
                    <w:spacing w:line="340" w:lineRule="exact"/>
                    <w:ind w:firstLine="0" w:firstLineChars="0"/>
                    <w:jc w:val="center"/>
                    <w:rPr>
                      <w:sz w:val="21"/>
                      <w:szCs w:val="21"/>
                      <w:lang w:bidi="ar"/>
                    </w:rPr>
                  </w:pPr>
                  <w:r>
                    <w:rPr>
                      <w:rFonts w:hint="eastAsia"/>
                      <w:sz w:val="21"/>
                      <w:szCs w:val="21"/>
                      <w:lang w:bidi="ar"/>
                    </w:rPr>
                    <w:t>废气事故排放</w:t>
                  </w:r>
                </w:p>
              </w:tc>
              <w:tc>
                <w:tcPr>
                  <w:tcW w:w="1482" w:type="pct"/>
                  <w:vAlign w:val="center"/>
                </w:tcPr>
                <w:p w14:paraId="30124F2D">
                  <w:pPr>
                    <w:spacing w:line="340" w:lineRule="exact"/>
                    <w:ind w:firstLine="0" w:firstLineChars="0"/>
                    <w:jc w:val="center"/>
                    <w:rPr>
                      <w:sz w:val="21"/>
                      <w:szCs w:val="21"/>
                      <w:lang w:bidi="ar"/>
                    </w:rPr>
                  </w:pPr>
                  <w:r>
                    <w:rPr>
                      <w:rFonts w:hint="eastAsia"/>
                      <w:sz w:val="21"/>
                      <w:szCs w:val="21"/>
                      <w:lang w:bidi="ar"/>
                    </w:rPr>
                    <w:t>废气处理设施故障</w:t>
                  </w:r>
                </w:p>
              </w:tc>
              <w:tc>
                <w:tcPr>
                  <w:tcW w:w="2222" w:type="pct"/>
                  <w:vAlign w:val="center"/>
                </w:tcPr>
                <w:p w14:paraId="5424C9F6">
                  <w:pPr>
                    <w:spacing w:line="340" w:lineRule="exact"/>
                    <w:ind w:firstLine="0" w:firstLineChars="0"/>
                    <w:jc w:val="center"/>
                    <w:rPr>
                      <w:sz w:val="21"/>
                      <w:szCs w:val="21"/>
                      <w:lang w:bidi="ar"/>
                    </w:rPr>
                  </w:pPr>
                  <w:r>
                    <w:rPr>
                      <w:rFonts w:hint="eastAsia"/>
                      <w:sz w:val="21"/>
                      <w:szCs w:val="21"/>
                      <w:lang w:bidi="ar"/>
                    </w:rPr>
                    <w:t>废气未经处理全部直接排放扩散</w:t>
                  </w:r>
                </w:p>
              </w:tc>
              <w:tc>
                <w:tcPr>
                  <w:tcW w:w="778" w:type="pct"/>
                  <w:tcBorders>
                    <w:right w:val="nil"/>
                  </w:tcBorders>
                  <w:vAlign w:val="center"/>
                </w:tcPr>
                <w:p w14:paraId="359C41F8">
                  <w:pPr>
                    <w:spacing w:line="340" w:lineRule="exact"/>
                    <w:ind w:firstLine="0" w:firstLineChars="0"/>
                    <w:jc w:val="center"/>
                    <w:rPr>
                      <w:sz w:val="21"/>
                      <w:szCs w:val="21"/>
                      <w:lang w:bidi="ar"/>
                    </w:rPr>
                  </w:pPr>
                  <w:r>
                    <w:rPr>
                      <w:rFonts w:hint="eastAsia"/>
                      <w:sz w:val="21"/>
                      <w:szCs w:val="21"/>
                      <w:lang w:bidi="ar"/>
                    </w:rPr>
                    <w:t>对大气环境有轻微的影响</w:t>
                  </w:r>
                </w:p>
              </w:tc>
            </w:tr>
            <w:tr w14:paraId="4CA19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pct"/>
                  <w:tcBorders>
                    <w:left w:val="nil"/>
                  </w:tcBorders>
                  <w:vAlign w:val="center"/>
                </w:tcPr>
                <w:p w14:paraId="74423E68">
                  <w:pPr>
                    <w:spacing w:line="340" w:lineRule="exact"/>
                    <w:ind w:firstLine="0" w:firstLineChars="0"/>
                    <w:jc w:val="center"/>
                    <w:rPr>
                      <w:sz w:val="21"/>
                      <w:szCs w:val="21"/>
                      <w:lang w:bidi="ar"/>
                    </w:rPr>
                  </w:pPr>
                  <w:r>
                    <w:rPr>
                      <w:rFonts w:hint="eastAsia"/>
                      <w:sz w:val="21"/>
                      <w:szCs w:val="21"/>
                      <w:lang w:bidi="ar"/>
                    </w:rPr>
                    <w:t>火灾事故</w:t>
                  </w:r>
                </w:p>
              </w:tc>
              <w:tc>
                <w:tcPr>
                  <w:tcW w:w="1482" w:type="pct"/>
                  <w:vAlign w:val="center"/>
                </w:tcPr>
                <w:p w14:paraId="5506E9A6">
                  <w:pPr>
                    <w:spacing w:line="340" w:lineRule="exact"/>
                    <w:ind w:firstLine="0" w:firstLineChars="0"/>
                    <w:jc w:val="center"/>
                    <w:rPr>
                      <w:sz w:val="21"/>
                      <w:szCs w:val="21"/>
                      <w:lang w:bidi="ar"/>
                    </w:rPr>
                  </w:pPr>
                  <w:r>
                    <w:rPr>
                      <w:rFonts w:hint="eastAsia"/>
                      <w:sz w:val="21"/>
                      <w:szCs w:val="21"/>
                      <w:lang w:bidi="ar"/>
                    </w:rPr>
                    <w:t>电线短路、静电火花等，遇明火或高热发生火灾事故</w:t>
                  </w:r>
                </w:p>
              </w:tc>
              <w:tc>
                <w:tcPr>
                  <w:tcW w:w="2222" w:type="pct"/>
                  <w:vAlign w:val="center"/>
                </w:tcPr>
                <w:p w14:paraId="01255C21">
                  <w:pPr>
                    <w:spacing w:line="340" w:lineRule="exact"/>
                    <w:ind w:firstLine="0" w:firstLineChars="0"/>
                    <w:jc w:val="center"/>
                    <w:rPr>
                      <w:sz w:val="21"/>
                      <w:szCs w:val="21"/>
                      <w:lang w:bidi="ar"/>
                    </w:rPr>
                  </w:pPr>
                  <w:r>
                    <w:rPr>
                      <w:rFonts w:hint="eastAsia"/>
                      <w:sz w:val="21"/>
                      <w:szCs w:val="21"/>
                      <w:lang w:bidi="ar"/>
                    </w:rPr>
                    <w:t>火灾产生的热辐射、浓烟、有害气体等直接进入环境，火灾扑救过程中产生的消防废水</w:t>
                  </w:r>
                </w:p>
              </w:tc>
              <w:tc>
                <w:tcPr>
                  <w:tcW w:w="778" w:type="pct"/>
                  <w:tcBorders>
                    <w:right w:val="nil"/>
                  </w:tcBorders>
                  <w:vAlign w:val="center"/>
                </w:tcPr>
                <w:p w14:paraId="4B0CA8AB">
                  <w:pPr>
                    <w:spacing w:line="340" w:lineRule="exact"/>
                    <w:ind w:firstLine="0" w:firstLineChars="0"/>
                    <w:jc w:val="center"/>
                    <w:rPr>
                      <w:sz w:val="21"/>
                      <w:szCs w:val="21"/>
                      <w:lang w:bidi="ar"/>
                    </w:rPr>
                  </w:pPr>
                  <w:r>
                    <w:rPr>
                      <w:rFonts w:hint="eastAsia"/>
                      <w:sz w:val="21"/>
                      <w:szCs w:val="21"/>
                      <w:lang w:bidi="ar"/>
                    </w:rPr>
                    <w:t>对外环境影响严重影响</w:t>
                  </w:r>
                </w:p>
              </w:tc>
            </w:tr>
          </w:tbl>
          <w:p w14:paraId="6934976C">
            <w:pPr>
              <w:keepNext/>
              <w:keepLines/>
              <w:ind w:firstLine="0" w:firstLineChars="0"/>
              <w:jc w:val="left"/>
              <w:outlineLvl w:val="2"/>
              <w:rPr>
                <w:b/>
                <w:bCs/>
                <w:sz w:val="28"/>
                <w:szCs w:val="32"/>
              </w:rPr>
            </w:pPr>
            <w:r>
              <w:rPr>
                <w:rFonts w:hint="eastAsia"/>
                <w:b/>
                <w:bCs/>
                <w:sz w:val="28"/>
                <w:szCs w:val="32"/>
              </w:rPr>
              <w:t xml:space="preserve">4.4.3环境风险防范措施及要求 </w:t>
            </w:r>
          </w:p>
          <w:p w14:paraId="7CB1BE69">
            <w:pPr>
              <w:ind w:firstLine="480"/>
            </w:pPr>
            <w:r>
              <w:rPr>
                <w:rFonts w:hint="eastAsia"/>
              </w:rPr>
              <w:t>（1）废气事故排放风险防范措施</w:t>
            </w:r>
          </w:p>
          <w:p w14:paraId="43F1AF05">
            <w:pPr>
              <w:ind w:firstLine="480"/>
            </w:pPr>
            <w:r>
              <w:rPr>
                <w:rFonts w:hint="eastAsia"/>
              </w:rPr>
              <w:t>①定期对废气处理设施从设备到输送管道进行检修，发现问题及时解决。</w:t>
            </w:r>
          </w:p>
          <w:p w14:paraId="095563C7">
            <w:pPr>
              <w:ind w:firstLine="480"/>
            </w:pPr>
            <w:r>
              <w:rPr>
                <w:rFonts w:hint="eastAsia"/>
              </w:rPr>
              <w:t>②各生产岗位制定严格的操作规程和注意事项，车间工人需熟悉工作流程，严格按操作规程进行运行控制，防止操作失误导致废气事故排放。</w:t>
            </w:r>
          </w:p>
          <w:p w14:paraId="3FDF05BA">
            <w:pPr>
              <w:ind w:firstLine="480"/>
            </w:pPr>
            <w:r>
              <w:rPr>
                <w:rFonts w:hint="eastAsia"/>
              </w:rPr>
              <w:t>（2）火灾事故风险防范措施</w:t>
            </w:r>
          </w:p>
          <w:p w14:paraId="4578B589">
            <w:pPr>
              <w:ind w:firstLine="480"/>
            </w:pPr>
            <w:r>
              <w:rPr>
                <w:rFonts w:hint="eastAsia"/>
              </w:rPr>
              <w:t>①加强消防设施和灭火器材的配备，严格落实有关消防技术规范的规定，加强人员疏散设施管理，保证疏散通道畅通。</w:t>
            </w:r>
          </w:p>
          <w:p w14:paraId="3B4E0B17">
            <w:pPr>
              <w:ind w:firstLine="480"/>
            </w:pPr>
            <w:r>
              <w:rPr>
                <w:rFonts w:hint="eastAsia"/>
              </w:rPr>
              <w:t>②定期进行防火安全检查，确保消防设施完整好用。</w:t>
            </w:r>
          </w:p>
          <w:p w14:paraId="654B4B54">
            <w:pPr>
              <w:ind w:firstLine="480"/>
            </w:pPr>
            <w:r>
              <w:rPr>
                <w:rFonts w:hint="eastAsia"/>
              </w:rPr>
              <w:t>③公司要求职工应遵守各项规章制度，杜绝“三违”（违章作业、违章指挥、违反劳动纪律），作业时要遵守各项规定（如动火、高处作业、进入设备作业等规定）、要求，确保安全生产。</w:t>
            </w:r>
          </w:p>
          <w:p w14:paraId="1C61AEE7">
            <w:pPr>
              <w:ind w:firstLine="480"/>
            </w:pPr>
            <w:r>
              <w:rPr>
                <w:rFonts w:hint="eastAsia"/>
              </w:rPr>
              <w:t>④公司强化安全、消防和环保管理，完善环保安全管理机构，完善各项管理制度，加强日常监督检查；车间内严禁烟火，严格动火审批制度，进料车辆必须戴阻火器。</w:t>
            </w:r>
          </w:p>
          <w:p w14:paraId="75AA4A62">
            <w:pPr>
              <w:widowControl/>
              <w:ind w:firstLine="0" w:firstLineChars="0"/>
              <w:jc w:val="left"/>
              <w:rPr>
                <w:b/>
                <w:bCs/>
                <w:sz w:val="28"/>
                <w:szCs w:val="32"/>
              </w:rPr>
            </w:pPr>
            <w:r>
              <w:rPr>
                <w:rFonts w:hint="eastAsia"/>
                <w:b/>
                <w:bCs/>
                <w:sz w:val="28"/>
                <w:szCs w:val="32"/>
              </w:rPr>
              <w:t xml:space="preserve">4.4.4环境风险结论 </w:t>
            </w:r>
          </w:p>
          <w:p w14:paraId="3023A036">
            <w:pPr>
              <w:ind w:firstLine="480"/>
            </w:pPr>
            <w:r>
              <w:t>根据《建设项目环境风险评价技术导则》（HJ169-2018），本项目环境风险潜势初判为Ⅰ，风险评价等级为简单分析，在采取有效环境风险防范措施后，可将风险减小到最低，控制在可接受水平，不会对周围环境造成较大影响。</w:t>
            </w:r>
          </w:p>
          <w:p w14:paraId="52A1E11E">
            <w:pPr>
              <w:keepNext/>
              <w:keepLines/>
              <w:ind w:firstLine="0" w:firstLineChars="0"/>
              <w:jc w:val="left"/>
              <w:outlineLvl w:val="1"/>
              <w:rPr>
                <w:b/>
                <w:bCs/>
                <w:sz w:val="30"/>
                <w:szCs w:val="32"/>
              </w:rPr>
            </w:pPr>
            <w:r>
              <w:rPr>
                <w:b/>
                <w:bCs/>
                <w:sz w:val="30"/>
                <w:szCs w:val="32"/>
              </w:rPr>
              <w:t>4.</w:t>
            </w:r>
            <w:r>
              <w:rPr>
                <w:rFonts w:hint="eastAsia"/>
                <w:b/>
                <w:bCs/>
                <w:sz w:val="30"/>
                <w:szCs w:val="32"/>
              </w:rPr>
              <w:t>5</w:t>
            </w:r>
            <w:r>
              <w:rPr>
                <w:b/>
                <w:bCs/>
                <w:sz w:val="30"/>
                <w:szCs w:val="32"/>
              </w:rPr>
              <w:t>环保投资估算</w:t>
            </w:r>
          </w:p>
          <w:p w14:paraId="791AC265">
            <w:pPr>
              <w:ind w:firstLine="480"/>
            </w:pPr>
            <w:r>
              <w:t>本项目总投资为</w:t>
            </w:r>
            <w:r>
              <w:rPr>
                <w:rFonts w:hint="eastAsia"/>
              </w:rPr>
              <w:t>250</w:t>
            </w:r>
            <w:r>
              <w:t>万元，其中环保投资估算为</w:t>
            </w:r>
            <w:r>
              <w:rPr>
                <w:rFonts w:hint="eastAsia"/>
              </w:rPr>
              <w:t>20</w:t>
            </w:r>
            <w:r>
              <w:t>万元，约占总投资额的</w:t>
            </w:r>
            <w:r>
              <w:rPr>
                <w:rFonts w:hint="eastAsia"/>
              </w:rPr>
              <w:t>8</w:t>
            </w:r>
            <w:r>
              <w:t>%。环保投资估算详见下表：</w:t>
            </w:r>
          </w:p>
          <w:p w14:paraId="0F69B84F">
            <w:pPr>
              <w:spacing w:before="120" w:beforeLines="50" w:line="240" w:lineRule="auto"/>
              <w:ind w:firstLine="0" w:firstLineChars="0"/>
              <w:jc w:val="center"/>
              <w:rPr>
                <w:b/>
                <w:color w:val="0000FF"/>
                <w:kern w:val="0"/>
                <w:szCs w:val="28"/>
                <w:lang w:bidi="zh-TW"/>
              </w:rPr>
            </w:pPr>
            <w:r>
              <w:rPr>
                <w:b/>
                <w:kern w:val="0"/>
                <w:szCs w:val="28"/>
                <w:lang w:bidi="zh-TW"/>
              </w:rPr>
              <w:t>表4.</w:t>
            </w:r>
            <w:r>
              <w:rPr>
                <w:rFonts w:hint="eastAsia"/>
                <w:b/>
                <w:kern w:val="0"/>
                <w:szCs w:val="28"/>
                <w:lang w:bidi="zh-TW"/>
              </w:rPr>
              <w:t>5</w:t>
            </w:r>
            <w:r>
              <w:rPr>
                <w:b/>
                <w:kern w:val="0"/>
                <w:szCs w:val="28"/>
                <w:lang w:bidi="zh-TW"/>
              </w:rPr>
              <w:t>-1  建设项目环保投资一览表</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3"/>
              <w:gridCol w:w="1497"/>
              <w:gridCol w:w="5250"/>
              <w:gridCol w:w="1546"/>
            </w:tblGrid>
            <w:tr w14:paraId="2050CB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525" w:type="pct"/>
                  <w:vAlign w:val="center"/>
                </w:tcPr>
                <w:p w14:paraId="3D7DD653">
                  <w:pPr>
                    <w:spacing w:line="240" w:lineRule="auto"/>
                    <w:ind w:firstLine="0" w:firstLineChars="0"/>
                    <w:jc w:val="center"/>
                    <w:rPr>
                      <w:b/>
                      <w:bCs/>
                      <w:sz w:val="21"/>
                      <w:szCs w:val="21"/>
                    </w:rPr>
                  </w:pPr>
                  <w:r>
                    <w:rPr>
                      <w:b/>
                      <w:bCs/>
                      <w:sz w:val="21"/>
                      <w:szCs w:val="21"/>
                    </w:rPr>
                    <w:t>类别</w:t>
                  </w:r>
                </w:p>
              </w:tc>
              <w:tc>
                <w:tcPr>
                  <w:tcW w:w="3639" w:type="pct"/>
                  <w:gridSpan w:val="2"/>
                  <w:vAlign w:val="center"/>
                </w:tcPr>
                <w:p w14:paraId="3957C49E">
                  <w:pPr>
                    <w:spacing w:line="240" w:lineRule="auto"/>
                    <w:ind w:firstLine="0" w:firstLineChars="0"/>
                    <w:jc w:val="center"/>
                    <w:rPr>
                      <w:b/>
                      <w:bCs/>
                      <w:sz w:val="21"/>
                      <w:szCs w:val="21"/>
                    </w:rPr>
                  </w:pPr>
                  <w:r>
                    <w:rPr>
                      <w:b/>
                      <w:bCs/>
                      <w:sz w:val="21"/>
                      <w:szCs w:val="21"/>
                    </w:rPr>
                    <w:t>项目</w:t>
                  </w:r>
                </w:p>
              </w:tc>
              <w:tc>
                <w:tcPr>
                  <w:tcW w:w="834" w:type="pct"/>
                  <w:vAlign w:val="center"/>
                </w:tcPr>
                <w:p w14:paraId="63915B24">
                  <w:pPr>
                    <w:spacing w:line="240" w:lineRule="auto"/>
                    <w:ind w:firstLine="0" w:firstLineChars="0"/>
                    <w:jc w:val="center"/>
                    <w:rPr>
                      <w:b/>
                      <w:bCs/>
                      <w:sz w:val="21"/>
                      <w:szCs w:val="21"/>
                    </w:rPr>
                  </w:pPr>
                  <w:r>
                    <w:rPr>
                      <w:b/>
                      <w:bCs/>
                      <w:sz w:val="21"/>
                      <w:szCs w:val="21"/>
                    </w:rPr>
                    <w:t>投资（万元）</w:t>
                  </w:r>
                </w:p>
              </w:tc>
            </w:tr>
            <w:tr w14:paraId="329A8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5" w:type="pct"/>
                  <w:vAlign w:val="center"/>
                </w:tcPr>
                <w:p w14:paraId="2710A730">
                  <w:pPr>
                    <w:spacing w:line="240" w:lineRule="auto"/>
                    <w:ind w:firstLine="0" w:firstLineChars="0"/>
                    <w:jc w:val="center"/>
                    <w:rPr>
                      <w:sz w:val="21"/>
                      <w:szCs w:val="21"/>
                    </w:rPr>
                  </w:pPr>
                  <w:r>
                    <w:rPr>
                      <w:sz w:val="21"/>
                      <w:szCs w:val="21"/>
                    </w:rPr>
                    <w:t>废气</w:t>
                  </w:r>
                </w:p>
              </w:tc>
              <w:tc>
                <w:tcPr>
                  <w:tcW w:w="3639" w:type="pct"/>
                  <w:gridSpan w:val="2"/>
                  <w:vAlign w:val="center"/>
                </w:tcPr>
                <w:p w14:paraId="2C64149D">
                  <w:pPr>
                    <w:spacing w:line="240" w:lineRule="auto"/>
                    <w:ind w:firstLine="0" w:firstLineChars="0"/>
                    <w:jc w:val="center"/>
                    <w:rPr>
                      <w:sz w:val="21"/>
                      <w:szCs w:val="21"/>
                    </w:rPr>
                  </w:pPr>
                  <w:r>
                    <w:rPr>
                      <w:sz w:val="21"/>
                      <w:szCs w:val="21"/>
                    </w:rPr>
                    <w:t>粉尘：</w:t>
                  </w:r>
                  <w:r>
                    <w:rPr>
                      <w:rFonts w:hint="eastAsia"/>
                      <w:sz w:val="21"/>
                      <w:szCs w:val="21"/>
                    </w:rPr>
                    <w:t>半封闭式围挡+</w:t>
                  </w:r>
                  <w:r>
                    <w:rPr>
                      <w:sz w:val="21"/>
                      <w:szCs w:val="21"/>
                    </w:rPr>
                    <w:t>集气罩+脉冲除尘</w:t>
                  </w:r>
                  <w:r>
                    <w:rPr>
                      <w:rFonts w:hint="eastAsia"/>
                      <w:sz w:val="21"/>
                      <w:szCs w:val="21"/>
                    </w:rPr>
                    <w:t>器+</w:t>
                  </w:r>
                  <w:r>
                    <w:rPr>
                      <w:rFonts w:hint="eastAsia"/>
                      <w:sz w:val="21"/>
                      <w:szCs w:val="21"/>
                      <w:lang w:val="en-US" w:eastAsia="zh-CN"/>
                    </w:rPr>
                    <w:t>3</w:t>
                  </w:r>
                  <w:r>
                    <w:rPr>
                      <w:rFonts w:hint="eastAsia"/>
                      <w:sz w:val="21"/>
                      <w:szCs w:val="21"/>
                    </w:rPr>
                    <w:t>0</w:t>
                  </w:r>
                  <w:r>
                    <w:rPr>
                      <w:sz w:val="21"/>
                      <w:szCs w:val="21"/>
                    </w:rPr>
                    <w:t>m排气筒</w:t>
                  </w:r>
                </w:p>
              </w:tc>
              <w:tc>
                <w:tcPr>
                  <w:tcW w:w="834" w:type="pct"/>
                  <w:vAlign w:val="center"/>
                </w:tcPr>
                <w:p w14:paraId="6963AB6C">
                  <w:pPr>
                    <w:spacing w:line="240" w:lineRule="auto"/>
                    <w:ind w:firstLine="0" w:firstLineChars="0"/>
                    <w:jc w:val="center"/>
                    <w:rPr>
                      <w:sz w:val="21"/>
                      <w:szCs w:val="21"/>
                    </w:rPr>
                  </w:pPr>
                  <w:r>
                    <w:rPr>
                      <w:rFonts w:hint="eastAsia"/>
                      <w:sz w:val="21"/>
                      <w:szCs w:val="21"/>
                    </w:rPr>
                    <w:t>16</w:t>
                  </w:r>
                </w:p>
              </w:tc>
            </w:tr>
            <w:tr w14:paraId="25CE8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525" w:type="pct"/>
                  <w:vAlign w:val="center"/>
                </w:tcPr>
                <w:p w14:paraId="60D80CC7">
                  <w:pPr>
                    <w:spacing w:line="240" w:lineRule="auto"/>
                    <w:ind w:firstLine="0" w:firstLineChars="0"/>
                    <w:jc w:val="center"/>
                    <w:rPr>
                      <w:sz w:val="21"/>
                      <w:szCs w:val="21"/>
                    </w:rPr>
                  </w:pPr>
                  <w:r>
                    <w:rPr>
                      <w:sz w:val="21"/>
                      <w:szCs w:val="21"/>
                    </w:rPr>
                    <w:t>废水</w:t>
                  </w:r>
                </w:p>
              </w:tc>
              <w:tc>
                <w:tcPr>
                  <w:tcW w:w="3639" w:type="pct"/>
                  <w:gridSpan w:val="2"/>
                  <w:vAlign w:val="center"/>
                </w:tcPr>
                <w:p w14:paraId="5897B201">
                  <w:pPr>
                    <w:spacing w:line="240" w:lineRule="auto"/>
                    <w:ind w:firstLine="0" w:firstLineChars="0"/>
                    <w:jc w:val="center"/>
                    <w:rPr>
                      <w:sz w:val="21"/>
                      <w:szCs w:val="21"/>
                    </w:rPr>
                  </w:pPr>
                  <w:r>
                    <w:rPr>
                      <w:rFonts w:hint="eastAsia"/>
                      <w:sz w:val="21"/>
                      <w:szCs w:val="21"/>
                    </w:rPr>
                    <w:t>依托已建化粪池预处理后由市政污水管网排放至闽侯县城关污水处理厂</w:t>
                  </w:r>
                </w:p>
              </w:tc>
              <w:tc>
                <w:tcPr>
                  <w:tcW w:w="834" w:type="pct"/>
                  <w:vAlign w:val="center"/>
                </w:tcPr>
                <w:p w14:paraId="2753C357">
                  <w:pPr>
                    <w:spacing w:line="240" w:lineRule="auto"/>
                    <w:ind w:firstLine="0" w:firstLineChars="0"/>
                    <w:jc w:val="center"/>
                    <w:rPr>
                      <w:sz w:val="21"/>
                      <w:szCs w:val="21"/>
                    </w:rPr>
                  </w:pPr>
                  <w:r>
                    <w:rPr>
                      <w:rFonts w:hint="eastAsia"/>
                      <w:sz w:val="21"/>
                      <w:szCs w:val="21"/>
                    </w:rPr>
                    <w:t>0</w:t>
                  </w:r>
                </w:p>
              </w:tc>
            </w:tr>
            <w:tr w14:paraId="19F32F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25" w:type="pct"/>
                  <w:vAlign w:val="center"/>
                </w:tcPr>
                <w:p w14:paraId="3CB4487A">
                  <w:pPr>
                    <w:spacing w:line="240" w:lineRule="auto"/>
                    <w:ind w:firstLine="0" w:firstLineChars="0"/>
                    <w:jc w:val="center"/>
                    <w:rPr>
                      <w:sz w:val="21"/>
                      <w:szCs w:val="21"/>
                    </w:rPr>
                  </w:pPr>
                  <w:r>
                    <w:rPr>
                      <w:sz w:val="21"/>
                      <w:szCs w:val="21"/>
                    </w:rPr>
                    <w:t>噪声</w:t>
                  </w:r>
                </w:p>
              </w:tc>
              <w:tc>
                <w:tcPr>
                  <w:tcW w:w="3639" w:type="pct"/>
                  <w:gridSpan w:val="2"/>
                  <w:vAlign w:val="center"/>
                </w:tcPr>
                <w:p w14:paraId="6CD46925">
                  <w:pPr>
                    <w:spacing w:line="240" w:lineRule="auto"/>
                    <w:ind w:firstLine="0" w:firstLineChars="0"/>
                    <w:jc w:val="center"/>
                    <w:rPr>
                      <w:sz w:val="21"/>
                      <w:szCs w:val="21"/>
                    </w:rPr>
                  </w:pPr>
                  <w:r>
                    <w:rPr>
                      <w:sz w:val="21"/>
                      <w:szCs w:val="21"/>
                    </w:rPr>
                    <w:t>隔声、消声、减震等综合降噪措施</w:t>
                  </w:r>
                </w:p>
              </w:tc>
              <w:tc>
                <w:tcPr>
                  <w:tcW w:w="834" w:type="pct"/>
                  <w:vAlign w:val="center"/>
                </w:tcPr>
                <w:p w14:paraId="4235EE85">
                  <w:pPr>
                    <w:spacing w:line="240" w:lineRule="auto"/>
                    <w:ind w:firstLine="0" w:firstLineChars="0"/>
                    <w:jc w:val="center"/>
                    <w:rPr>
                      <w:sz w:val="21"/>
                      <w:szCs w:val="21"/>
                    </w:rPr>
                  </w:pPr>
                  <w:r>
                    <w:rPr>
                      <w:rFonts w:hint="eastAsia"/>
                      <w:sz w:val="21"/>
                      <w:szCs w:val="21"/>
                    </w:rPr>
                    <w:t>2</w:t>
                  </w:r>
                </w:p>
              </w:tc>
            </w:tr>
            <w:tr w14:paraId="073C19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525" w:type="pct"/>
                  <w:vMerge w:val="restart"/>
                  <w:vAlign w:val="center"/>
                </w:tcPr>
                <w:p w14:paraId="3E30536B">
                  <w:pPr>
                    <w:spacing w:line="240" w:lineRule="auto"/>
                    <w:ind w:firstLine="0" w:firstLineChars="0"/>
                    <w:jc w:val="center"/>
                    <w:rPr>
                      <w:sz w:val="21"/>
                      <w:szCs w:val="21"/>
                    </w:rPr>
                  </w:pPr>
                  <w:r>
                    <w:rPr>
                      <w:sz w:val="21"/>
                      <w:szCs w:val="21"/>
                    </w:rPr>
                    <w:t>固废</w:t>
                  </w:r>
                </w:p>
              </w:tc>
              <w:tc>
                <w:tcPr>
                  <w:tcW w:w="808" w:type="pct"/>
                  <w:vAlign w:val="center"/>
                </w:tcPr>
                <w:p w14:paraId="00B002BA">
                  <w:pPr>
                    <w:spacing w:line="240" w:lineRule="auto"/>
                    <w:ind w:firstLine="0" w:firstLineChars="0"/>
                    <w:jc w:val="center"/>
                    <w:rPr>
                      <w:sz w:val="21"/>
                      <w:szCs w:val="21"/>
                    </w:rPr>
                  </w:pPr>
                  <w:r>
                    <w:rPr>
                      <w:sz w:val="21"/>
                      <w:szCs w:val="21"/>
                    </w:rPr>
                    <w:t>一般固废</w:t>
                  </w:r>
                </w:p>
              </w:tc>
              <w:tc>
                <w:tcPr>
                  <w:tcW w:w="2831" w:type="pct"/>
                  <w:vAlign w:val="center"/>
                </w:tcPr>
                <w:p w14:paraId="501FEAB1">
                  <w:pPr>
                    <w:spacing w:line="240" w:lineRule="auto"/>
                    <w:ind w:firstLine="0" w:firstLineChars="0"/>
                    <w:jc w:val="center"/>
                    <w:rPr>
                      <w:sz w:val="21"/>
                      <w:szCs w:val="21"/>
                    </w:rPr>
                  </w:pPr>
                  <w:r>
                    <w:rPr>
                      <w:rFonts w:hint="eastAsia"/>
                      <w:sz w:val="21"/>
                      <w:szCs w:val="21"/>
                    </w:rPr>
                    <w:t>设置规范化的一般工业固体废物暂存区，一般工业固废分类收集、暂存后外售综合利用或厂家回收</w:t>
                  </w:r>
                  <w:r>
                    <w:rPr>
                      <w:sz w:val="21"/>
                      <w:szCs w:val="21"/>
                    </w:rPr>
                    <w:t>。</w:t>
                  </w:r>
                </w:p>
              </w:tc>
              <w:tc>
                <w:tcPr>
                  <w:tcW w:w="834" w:type="pct"/>
                  <w:vAlign w:val="center"/>
                </w:tcPr>
                <w:p w14:paraId="07CAE8B0">
                  <w:pPr>
                    <w:spacing w:line="240" w:lineRule="auto"/>
                    <w:ind w:firstLine="0" w:firstLineChars="0"/>
                    <w:jc w:val="center"/>
                    <w:rPr>
                      <w:sz w:val="21"/>
                      <w:szCs w:val="21"/>
                    </w:rPr>
                  </w:pPr>
                  <w:r>
                    <w:rPr>
                      <w:rFonts w:hint="eastAsia"/>
                      <w:sz w:val="21"/>
                      <w:szCs w:val="21"/>
                    </w:rPr>
                    <w:t>1.5</w:t>
                  </w:r>
                </w:p>
              </w:tc>
            </w:tr>
            <w:tr w14:paraId="704D3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25" w:type="pct"/>
                  <w:vMerge w:val="continue"/>
                  <w:vAlign w:val="center"/>
                </w:tcPr>
                <w:p w14:paraId="2289CEA5">
                  <w:pPr>
                    <w:spacing w:line="240" w:lineRule="auto"/>
                    <w:ind w:firstLine="0" w:firstLineChars="0"/>
                    <w:jc w:val="center"/>
                    <w:rPr>
                      <w:sz w:val="21"/>
                      <w:szCs w:val="21"/>
                    </w:rPr>
                  </w:pPr>
                </w:p>
              </w:tc>
              <w:tc>
                <w:tcPr>
                  <w:tcW w:w="808" w:type="pct"/>
                  <w:vAlign w:val="center"/>
                </w:tcPr>
                <w:p w14:paraId="1F52FDFF">
                  <w:pPr>
                    <w:spacing w:line="240" w:lineRule="auto"/>
                    <w:ind w:firstLine="0" w:firstLineChars="0"/>
                    <w:jc w:val="center"/>
                    <w:rPr>
                      <w:sz w:val="21"/>
                      <w:szCs w:val="21"/>
                    </w:rPr>
                  </w:pPr>
                  <w:r>
                    <w:rPr>
                      <w:sz w:val="21"/>
                      <w:szCs w:val="21"/>
                    </w:rPr>
                    <w:t>生活垃圾</w:t>
                  </w:r>
                </w:p>
              </w:tc>
              <w:tc>
                <w:tcPr>
                  <w:tcW w:w="2831" w:type="pct"/>
                  <w:vAlign w:val="center"/>
                </w:tcPr>
                <w:p w14:paraId="300539FB">
                  <w:pPr>
                    <w:spacing w:line="240" w:lineRule="auto"/>
                    <w:ind w:firstLine="0" w:firstLineChars="0"/>
                    <w:jc w:val="center"/>
                    <w:rPr>
                      <w:sz w:val="21"/>
                      <w:szCs w:val="21"/>
                    </w:rPr>
                  </w:pPr>
                  <w:r>
                    <w:rPr>
                      <w:sz w:val="21"/>
                      <w:szCs w:val="21"/>
                    </w:rPr>
                    <w:t>收集容器、垃圾桶</w:t>
                  </w:r>
                </w:p>
              </w:tc>
              <w:tc>
                <w:tcPr>
                  <w:tcW w:w="834" w:type="pct"/>
                  <w:vAlign w:val="center"/>
                </w:tcPr>
                <w:p w14:paraId="0276DC44">
                  <w:pPr>
                    <w:spacing w:line="240" w:lineRule="auto"/>
                    <w:ind w:firstLine="0" w:firstLineChars="0"/>
                    <w:jc w:val="center"/>
                    <w:rPr>
                      <w:sz w:val="21"/>
                      <w:szCs w:val="21"/>
                    </w:rPr>
                  </w:pPr>
                  <w:r>
                    <w:rPr>
                      <w:rFonts w:hint="eastAsia"/>
                      <w:sz w:val="21"/>
                      <w:szCs w:val="21"/>
                    </w:rPr>
                    <w:t>0.5</w:t>
                  </w:r>
                </w:p>
              </w:tc>
            </w:tr>
            <w:tr w14:paraId="1EE9B2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65" w:type="pct"/>
                  <w:gridSpan w:val="3"/>
                  <w:vAlign w:val="center"/>
                </w:tcPr>
                <w:p w14:paraId="3E07EF01">
                  <w:pPr>
                    <w:spacing w:line="240" w:lineRule="auto"/>
                    <w:ind w:firstLine="0" w:firstLineChars="0"/>
                    <w:jc w:val="center"/>
                    <w:rPr>
                      <w:sz w:val="21"/>
                      <w:szCs w:val="21"/>
                    </w:rPr>
                  </w:pPr>
                  <w:r>
                    <w:rPr>
                      <w:sz w:val="21"/>
                      <w:szCs w:val="21"/>
                    </w:rPr>
                    <w:t>合计</w:t>
                  </w:r>
                </w:p>
              </w:tc>
              <w:tc>
                <w:tcPr>
                  <w:tcW w:w="834" w:type="pct"/>
                  <w:vAlign w:val="center"/>
                </w:tcPr>
                <w:p w14:paraId="4D86B03C">
                  <w:pPr>
                    <w:spacing w:line="240" w:lineRule="auto"/>
                    <w:ind w:firstLine="0" w:firstLineChars="0"/>
                    <w:jc w:val="center"/>
                    <w:rPr>
                      <w:sz w:val="21"/>
                      <w:szCs w:val="21"/>
                    </w:rPr>
                  </w:pPr>
                  <w:r>
                    <w:rPr>
                      <w:rFonts w:hint="eastAsia"/>
                      <w:sz w:val="21"/>
                      <w:szCs w:val="21"/>
                    </w:rPr>
                    <w:t>20</w:t>
                  </w:r>
                </w:p>
              </w:tc>
            </w:tr>
          </w:tbl>
          <w:p w14:paraId="6DB3C764">
            <w:pPr>
              <w:ind w:firstLine="480"/>
            </w:pPr>
          </w:p>
        </w:tc>
      </w:tr>
    </w:tbl>
    <w:p w14:paraId="5C38251C">
      <w:pPr>
        <w:adjustRightInd w:val="0"/>
        <w:snapToGrid w:val="0"/>
        <w:ind w:firstLine="562"/>
        <w:rPr>
          <w:b/>
          <w:kern w:val="0"/>
          <w:sz w:val="28"/>
          <w:szCs w:val="28"/>
        </w:rPr>
        <w:sectPr>
          <w:pgSz w:w="11907" w:h="16840"/>
          <w:pgMar w:top="1418" w:right="1418" w:bottom="1418" w:left="1418" w:header="851" w:footer="851" w:gutter="0"/>
          <w:cols w:space="720" w:num="1"/>
          <w:docGrid w:linePitch="312" w:charSpace="0"/>
        </w:sectPr>
      </w:pPr>
    </w:p>
    <w:p w14:paraId="53F8EA06">
      <w:pPr>
        <w:keepNext/>
        <w:overflowPunct w:val="0"/>
        <w:ind w:firstLine="0" w:firstLineChars="0"/>
        <w:jc w:val="center"/>
        <w:outlineLvl w:val="0"/>
        <w:rPr>
          <w:b/>
          <w:bCs/>
          <w:kern w:val="44"/>
          <w:sz w:val="32"/>
          <w:szCs w:val="30"/>
        </w:rPr>
      </w:pPr>
      <w:bookmarkStart w:id="22" w:name="_Toc27812"/>
      <w:bookmarkStart w:id="23" w:name="_Toc9554"/>
      <w:r>
        <w:rPr>
          <w:b/>
          <w:bCs/>
          <w:kern w:val="44"/>
          <w:sz w:val="32"/>
          <w:szCs w:val="30"/>
        </w:rPr>
        <w:t>五、</w:t>
      </w:r>
      <w:bookmarkStart w:id="24" w:name="_Hlk54167917"/>
      <w:r>
        <w:rPr>
          <w:b/>
          <w:bCs/>
          <w:kern w:val="44"/>
          <w:sz w:val="32"/>
          <w:szCs w:val="30"/>
        </w:rPr>
        <w:t>环境保护措施监督检查清单</w:t>
      </w:r>
      <w:bookmarkEnd w:id="22"/>
      <w:bookmarkEnd w:id="23"/>
      <w:bookmarkEnd w:id="24"/>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608"/>
        <w:gridCol w:w="975"/>
        <w:gridCol w:w="2040"/>
        <w:gridCol w:w="3117"/>
      </w:tblGrid>
      <w:tr w14:paraId="7E5E50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1" w:hRule="atLeast"/>
          <w:jc w:val="center"/>
        </w:trPr>
        <w:tc>
          <w:tcPr>
            <w:tcW w:w="1060" w:type="dxa"/>
            <w:tcBorders>
              <w:tl2br w:val="single" w:color="auto" w:sz="4" w:space="0"/>
            </w:tcBorders>
            <w:vAlign w:val="center"/>
          </w:tcPr>
          <w:p w14:paraId="3CBD32B2">
            <w:pPr>
              <w:snapToGrid w:val="0"/>
              <w:ind w:firstLine="0" w:firstLineChars="0"/>
              <w:jc w:val="center"/>
              <w:rPr>
                <w:b/>
                <w:bCs/>
              </w:rPr>
            </w:pPr>
            <w:r>
              <w:rPr>
                <w:rFonts w:hint="eastAsia"/>
                <w:b/>
                <w:bCs/>
              </w:rPr>
              <w:t xml:space="preserve">   </w:t>
            </w:r>
            <w:r>
              <w:rPr>
                <w:b/>
                <w:bCs/>
              </w:rPr>
              <w:t>内容</w:t>
            </w:r>
          </w:p>
          <w:p w14:paraId="130C35F7">
            <w:pPr>
              <w:snapToGrid w:val="0"/>
              <w:ind w:firstLine="0" w:firstLineChars="0"/>
              <w:rPr>
                <w:b/>
                <w:bCs/>
              </w:rPr>
            </w:pPr>
          </w:p>
          <w:p w14:paraId="45C4DE5B">
            <w:pPr>
              <w:snapToGrid w:val="0"/>
              <w:spacing w:line="240" w:lineRule="auto"/>
              <w:ind w:firstLine="0" w:firstLineChars="0"/>
              <w:rPr>
                <w:b/>
                <w:bCs/>
              </w:rPr>
            </w:pPr>
            <w:r>
              <w:rPr>
                <w:b/>
                <w:bCs/>
              </w:rPr>
              <w:t>要素</w:t>
            </w:r>
          </w:p>
        </w:tc>
        <w:tc>
          <w:tcPr>
            <w:tcW w:w="1608" w:type="dxa"/>
            <w:vAlign w:val="center"/>
          </w:tcPr>
          <w:p w14:paraId="79FE1E72">
            <w:pPr>
              <w:snapToGrid w:val="0"/>
              <w:spacing w:line="340" w:lineRule="exact"/>
              <w:ind w:firstLine="0" w:firstLineChars="0"/>
              <w:jc w:val="center"/>
              <w:rPr>
                <w:b/>
                <w:bCs/>
              </w:rPr>
            </w:pPr>
            <w:r>
              <w:rPr>
                <w:b/>
                <w:bCs/>
              </w:rPr>
              <w:t>排放口</w:t>
            </w:r>
            <w:r>
              <w:rPr>
                <w:rFonts w:hint="eastAsia"/>
                <w:b/>
                <w:bCs/>
              </w:rPr>
              <w:t>（</w:t>
            </w:r>
            <w:r>
              <w:rPr>
                <w:b/>
                <w:bCs/>
              </w:rPr>
              <w:t>编号、名称</w:t>
            </w:r>
            <w:r>
              <w:rPr>
                <w:rFonts w:hint="eastAsia"/>
                <w:b/>
                <w:bCs/>
              </w:rPr>
              <w:t>）</w:t>
            </w:r>
            <w:r>
              <w:rPr>
                <w:b/>
                <w:bCs/>
              </w:rPr>
              <w:t>/污染源</w:t>
            </w:r>
          </w:p>
        </w:tc>
        <w:tc>
          <w:tcPr>
            <w:tcW w:w="975" w:type="dxa"/>
            <w:vAlign w:val="center"/>
          </w:tcPr>
          <w:p w14:paraId="13F094C5">
            <w:pPr>
              <w:snapToGrid w:val="0"/>
              <w:spacing w:line="340" w:lineRule="exact"/>
              <w:ind w:firstLine="0" w:firstLineChars="0"/>
              <w:jc w:val="center"/>
              <w:rPr>
                <w:b/>
                <w:bCs/>
              </w:rPr>
            </w:pPr>
            <w:r>
              <w:rPr>
                <w:b/>
                <w:bCs/>
              </w:rPr>
              <w:t>污染物</w:t>
            </w:r>
          </w:p>
          <w:p w14:paraId="09811304">
            <w:pPr>
              <w:snapToGrid w:val="0"/>
              <w:spacing w:line="340" w:lineRule="exact"/>
              <w:ind w:firstLine="0" w:firstLineChars="0"/>
              <w:jc w:val="center"/>
              <w:rPr>
                <w:b/>
                <w:bCs/>
              </w:rPr>
            </w:pPr>
            <w:r>
              <w:rPr>
                <w:b/>
                <w:bCs/>
              </w:rPr>
              <w:t>项目</w:t>
            </w:r>
          </w:p>
        </w:tc>
        <w:tc>
          <w:tcPr>
            <w:tcW w:w="2040" w:type="dxa"/>
            <w:vAlign w:val="center"/>
          </w:tcPr>
          <w:p w14:paraId="39E396B7">
            <w:pPr>
              <w:snapToGrid w:val="0"/>
              <w:spacing w:line="340" w:lineRule="exact"/>
              <w:ind w:firstLine="0" w:firstLineChars="0"/>
              <w:jc w:val="center"/>
              <w:rPr>
                <w:b/>
                <w:bCs/>
              </w:rPr>
            </w:pPr>
            <w:r>
              <w:rPr>
                <w:b/>
                <w:bCs/>
              </w:rPr>
              <w:t>环境保护措施</w:t>
            </w:r>
          </w:p>
        </w:tc>
        <w:tc>
          <w:tcPr>
            <w:tcW w:w="3117" w:type="dxa"/>
            <w:vAlign w:val="center"/>
          </w:tcPr>
          <w:p w14:paraId="39D3CEAD">
            <w:pPr>
              <w:snapToGrid w:val="0"/>
              <w:spacing w:line="340" w:lineRule="exact"/>
              <w:ind w:firstLine="0" w:firstLineChars="0"/>
              <w:jc w:val="center"/>
              <w:rPr>
                <w:b/>
                <w:bCs/>
              </w:rPr>
            </w:pPr>
            <w:r>
              <w:rPr>
                <w:b/>
                <w:bCs/>
              </w:rPr>
              <w:t>执行标准</w:t>
            </w:r>
          </w:p>
        </w:tc>
      </w:tr>
      <w:tr w14:paraId="753A5D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1060" w:type="dxa"/>
            <w:vMerge w:val="restart"/>
            <w:vAlign w:val="center"/>
          </w:tcPr>
          <w:p w14:paraId="26354FCF">
            <w:pPr>
              <w:snapToGrid w:val="0"/>
              <w:spacing w:line="340" w:lineRule="exact"/>
              <w:ind w:firstLine="0" w:firstLineChars="0"/>
              <w:jc w:val="center"/>
              <w:rPr>
                <w:color w:val="FF0000"/>
              </w:rPr>
            </w:pPr>
            <w:r>
              <w:rPr>
                <w:rFonts w:hint="eastAsia"/>
              </w:rPr>
              <w:t>大气环境</w:t>
            </w:r>
          </w:p>
        </w:tc>
        <w:tc>
          <w:tcPr>
            <w:tcW w:w="1608" w:type="dxa"/>
            <w:vAlign w:val="center"/>
          </w:tcPr>
          <w:p w14:paraId="64ABCFA6">
            <w:pPr>
              <w:snapToGrid w:val="0"/>
              <w:spacing w:line="340" w:lineRule="exact"/>
              <w:ind w:firstLine="0" w:firstLineChars="0"/>
              <w:jc w:val="center"/>
            </w:pPr>
            <w:r>
              <w:rPr>
                <w:rFonts w:hint="eastAsia"/>
              </w:rPr>
              <w:t>DA001</w:t>
            </w:r>
          </w:p>
          <w:p w14:paraId="5BE44783">
            <w:pPr>
              <w:snapToGrid w:val="0"/>
              <w:spacing w:line="340" w:lineRule="exact"/>
              <w:ind w:firstLine="0" w:firstLineChars="0"/>
              <w:jc w:val="center"/>
            </w:pPr>
            <w:r>
              <w:rPr>
                <w:rFonts w:hint="eastAsia"/>
              </w:rPr>
              <w:t>（粉尘废气排放口）</w:t>
            </w:r>
          </w:p>
        </w:tc>
        <w:tc>
          <w:tcPr>
            <w:tcW w:w="975" w:type="dxa"/>
            <w:vAlign w:val="center"/>
          </w:tcPr>
          <w:p w14:paraId="28D490A9">
            <w:pPr>
              <w:snapToGrid w:val="0"/>
              <w:spacing w:line="340" w:lineRule="exact"/>
              <w:ind w:firstLine="0" w:firstLineChars="0"/>
              <w:jc w:val="center"/>
            </w:pPr>
            <w:r>
              <w:rPr>
                <w:rFonts w:hint="eastAsia"/>
              </w:rPr>
              <w:t>颗粒物</w:t>
            </w:r>
          </w:p>
        </w:tc>
        <w:tc>
          <w:tcPr>
            <w:tcW w:w="2040" w:type="dxa"/>
            <w:vAlign w:val="center"/>
          </w:tcPr>
          <w:p w14:paraId="620C8CDE">
            <w:pPr>
              <w:snapToGrid w:val="0"/>
              <w:spacing w:line="340" w:lineRule="exact"/>
              <w:ind w:firstLine="0" w:firstLineChars="0"/>
              <w:jc w:val="center"/>
            </w:pPr>
            <w:r>
              <w:rPr>
                <w:rFonts w:hint="eastAsia"/>
                <w:sz w:val="21"/>
                <w:szCs w:val="21"/>
              </w:rPr>
              <w:t>原料储存罐呼吸、</w:t>
            </w:r>
            <w:r>
              <w:rPr>
                <w:rFonts w:hint="eastAsia"/>
              </w:rPr>
              <w:t>投料、混合搅拌及成品打包产生的粉尘废气经半封闭式围挡+集气罩+脉冲布袋除尘器治理达标后引至1根</w:t>
            </w:r>
            <w:r>
              <w:rPr>
                <w:rFonts w:hint="eastAsia"/>
                <w:lang w:val="en-US" w:eastAsia="zh-CN"/>
              </w:rPr>
              <w:t>3</w:t>
            </w:r>
            <w:r>
              <w:rPr>
                <w:rFonts w:hint="eastAsia"/>
              </w:rPr>
              <w:t>0m高排气筒排放（DA001）</w:t>
            </w:r>
          </w:p>
        </w:tc>
        <w:tc>
          <w:tcPr>
            <w:tcW w:w="3117" w:type="dxa"/>
            <w:vAlign w:val="center"/>
          </w:tcPr>
          <w:p w14:paraId="47ECF016">
            <w:pPr>
              <w:snapToGrid w:val="0"/>
              <w:spacing w:line="340" w:lineRule="exact"/>
              <w:ind w:firstLine="0" w:firstLineChars="0"/>
              <w:jc w:val="center"/>
            </w:pPr>
            <w:r>
              <w:rPr>
                <w:rFonts w:hint="eastAsia"/>
              </w:rPr>
              <w:t>《水泥工业大气污染</w:t>
            </w:r>
          </w:p>
          <w:p w14:paraId="4D8AC14C">
            <w:pPr>
              <w:snapToGrid w:val="0"/>
              <w:spacing w:line="340" w:lineRule="exact"/>
              <w:ind w:firstLine="0" w:firstLineChars="0"/>
              <w:jc w:val="center"/>
            </w:pPr>
            <w:r>
              <w:rPr>
                <w:rFonts w:hint="eastAsia"/>
              </w:rPr>
              <w:t>物排放标准》</w:t>
            </w:r>
          </w:p>
          <w:p w14:paraId="1C1093E5">
            <w:pPr>
              <w:snapToGrid w:val="0"/>
              <w:spacing w:line="340" w:lineRule="exact"/>
              <w:ind w:firstLine="0" w:firstLineChars="0"/>
              <w:jc w:val="center"/>
              <w:rPr>
                <w:color w:val="FF0000"/>
              </w:rPr>
            </w:pPr>
            <w:r>
              <w:rPr>
                <w:rFonts w:hint="eastAsia"/>
              </w:rPr>
              <w:t>（GB4915-2013）表2大气污染物特别排放限值要求（排放浓度≤10mg/m</w:t>
            </w:r>
            <w:r>
              <w:rPr>
                <w:rFonts w:hint="eastAsia"/>
                <w:vertAlign w:val="superscript"/>
              </w:rPr>
              <w:t>3</w:t>
            </w:r>
            <w:r>
              <w:rPr>
                <w:rFonts w:hint="eastAsia"/>
              </w:rPr>
              <w:t>）</w:t>
            </w:r>
          </w:p>
        </w:tc>
      </w:tr>
      <w:tr w14:paraId="11F098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0" w:type="dxa"/>
            <w:vMerge w:val="continue"/>
            <w:vAlign w:val="center"/>
          </w:tcPr>
          <w:p w14:paraId="7070D7B7">
            <w:pPr>
              <w:snapToGrid w:val="0"/>
              <w:spacing w:line="340" w:lineRule="exact"/>
              <w:ind w:firstLine="0" w:firstLineChars="0"/>
              <w:jc w:val="center"/>
              <w:rPr>
                <w:rFonts w:ascii="等线" w:hAnsi="等线" w:eastAsia="等线"/>
                <w:sz w:val="21"/>
                <w:szCs w:val="22"/>
              </w:rPr>
            </w:pPr>
          </w:p>
        </w:tc>
        <w:tc>
          <w:tcPr>
            <w:tcW w:w="1608" w:type="dxa"/>
            <w:vAlign w:val="center"/>
          </w:tcPr>
          <w:p w14:paraId="1EB80404">
            <w:pPr>
              <w:snapToGrid w:val="0"/>
              <w:spacing w:line="340" w:lineRule="exact"/>
              <w:ind w:firstLine="0" w:firstLineChars="0"/>
              <w:jc w:val="center"/>
              <w:rPr>
                <w:lang w:eastAsia="en-US"/>
              </w:rPr>
            </w:pPr>
            <w:r>
              <w:rPr>
                <w:rFonts w:hint="eastAsia"/>
              </w:rPr>
              <w:t>厂界</w:t>
            </w:r>
          </w:p>
        </w:tc>
        <w:tc>
          <w:tcPr>
            <w:tcW w:w="975" w:type="dxa"/>
            <w:vAlign w:val="center"/>
          </w:tcPr>
          <w:p w14:paraId="6ED345D3">
            <w:pPr>
              <w:snapToGrid w:val="0"/>
              <w:spacing w:line="340" w:lineRule="exact"/>
              <w:ind w:firstLine="0" w:firstLineChars="0"/>
              <w:jc w:val="center"/>
              <w:rPr>
                <w:lang w:eastAsia="en-US"/>
              </w:rPr>
            </w:pPr>
            <w:r>
              <w:rPr>
                <w:rFonts w:hint="eastAsia"/>
              </w:rPr>
              <w:t>颗粒物</w:t>
            </w:r>
          </w:p>
        </w:tc>
        <w:tc>
          <w:tcPr>
            <w:tcW w:w="2040" w:type="dxa"/>
            <w:vAlign w:val="center"/>
          </w:tcPr>
          <w:p w14:paraId="6856EEDF">
            <w:pPr>
              <w:snapToGrid w:val="0"/>
              <w:spacing w:line="340" w:lineRule="exact"/>
              <w:ind w:firstLine="0" w:firstLineChars="0"/>
              <w:jc w:val="center"/>
            </w:pPr>
            <w:r>
              <w:rPr>
                <w:rFonts w:hint="eastAsia"/>
              </w:rPr>
              <w:t>加强废气的收集、定期对废气设施进行维护保养等</w:t>
            </w:r>
          </w:p>
        </w:tc>
        <w:tc>
          <w:tcPr>
            <w:tcW w:w="3117" w:type="dxa"/>
            <w:vAlign w:val="center"/>
          </w:tcPr>
          <w:p w14:paraId="2530F03B">
            <w:pPr>
              <w:snapToGrid w:val="0"/>
              <w:spacing w:line="340" w:lineRule="exact"/>
              <w:ind w:firstLine="0" w:firstLineChars="0"/>
              <w:jc w:val="center"/>
            </w:pPr>
            <w:r>
              <w:rPr>
                <w:rFonts w:hint="eastAsia"/>
              </w:rPr>
              <w:t>《水泥工业大气污染物排放标准》（GB4915-2013）表3无组织排放监控浓度限值（颗粒物≤0.5mg/m</w:t>
            </w:r>
            <w:r>
              <w:rPr>
                <w:rFonts w:hint="eastAsia"/>
                <w:vertAlign w:val="superscript"/>
              </w:rPr>
              <w:t>3</w:t>
            </w:r>
            <w:r>
              <w:rPr>
                <w:rFonts w:hint="eastAsia"/>
              </w:rPr>
              <w:t>）</w:t>
            </w:r>
          </w:p>
        </w:tc>
      </w:tr>
      <w:tr w14:paraId="243E07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0" w:type="dxa"/>
            <w:vAlign w:val="center"/>
          </w:tcPr>
          <w:p w14:paraId="72B53745">
            <w:pPr>
              <w:snapToGrid w:val="0"/>
              <w:spacing w:line="340" w:lineRule="exact"/>
              <w:ind w:firstLine="0" w:firstLineChars="0"/>
              <w:jc w:val="center"/>
            </w:pPr>
            <w:r>
              <w:t>地表水</w:t>
            </w:r>
          </w:p>
          <w:p w14:paraId="23327908">
            <w:pPr>
              <w:snapToGrid w:val="0"/>
              <w:spacing w:line="340" w:lineRule="exact"/>
              <w:ind w:firstLine="0" w:firstLineChars="0"/>
              <w:jc w:val="center"/>
            </w:pPr>
            <w:r>
              <w:t>环境</w:t>
            </w:r>
          </w:p>
        </w:tc>
        <w:tc>
          <w:tcPr>
            <w:tcW w:w="1608" w:type="dxa"/>
            <w:vAlign w:val="center"/>
          </w:tcPr>
          <w:p w14:paraId="1C8DD22F">
            <w:pPr>
              <w:snapToGrid w:val="0"/>
              <w:spacing w:line="340" w:lineRule="exact"/>
              <w:ind w:firstLine="0" w:firstLineChars="0"/>
              <w:jc w:val="center"/>
            </w:pPr>
            <w:r>
              <w:rPr>
                <w:rFonts w:hint="eastAsia"/>
              </w:rPr>
              <w:t>生活污水排放</w:t>
            </w:r>
            <w:r>
              <w:t>口</w:t>
            </w:r>
          </w:p>
        </w:tc>
        <w:tc>
          <w:tcPr>
            <w:tcW w:w="975" w:type="dxa"/>
            <w:vAlign w:val="center"/>
          </w:tcPr>
          <w:p w14:paraId="05D69513">
            <w:pPr>
              <w:snapToGrid w:val="0"/>
              <w:spacing w:line="340" w:lineRule="exact"/>
              <w:ind w:firstLine="0" w:firstLineChars="0"/>
              <w:jc w:val="center"/>
            </w:pPr>
            <w:r>
              <w:t>pH、COD、BOD</w:t>
            </w:r>
            <w:r>
              <w:rPr>
                <w:rFonts w:hint="eastAsia"/>
                <w:vertAlign w:val="subscript"/>
              </w:rPr>
              <w:t>5</w:t>
            </w:r>
            <w:r>
              <w:t>、悬浮物、氨</w:t>
            </w:r>
          </w:p>
          <w:p w14:paraId="31A570C1">
            <w:pPr>
              <w:snapToGrid w:val="0"/>
              <w:spacing w:line="340" w:lineRule="exact"/>
              <w:ind w:firstLine="0" w:firstLineChars="0"/>
              <w:jc w:val="center"/>
              <w:rPr>
                <w:lang w:eastAsia="en-US"/>
              </w:rPr>
            </w:pPr>
            <w:r>
              <w:t>氮</w:t>
            </w:r>
          </w:p>
        </w:tc>
        <w:tc>
          <w:tcPr>
            <w:tcW w:w="2040" w:type="dxa"/>
            <w:vAlign w:val="center"/>
          </w:tcPr>
          <w:p w14:paraId="68C04627">
            <w:pPr>
              <w:snapToGrid w:val="0"/>
              <w:spacing w:line="340" w:lineRule="exact"/>
              <w:ind w:firstLine="0" w:firstLineChars="0"/>
              <w:jc w:val="center"/>
            </w:pPr>
            <w:r>
              <w:rPr>
                <w:rFonts w:hint="eastAsia"/>
              </w:rPr>
              <w:t>生活污水经化粪池预处理后由市政污水管网排放至闽侯县城关污水处理厂</w:t>
            </w:r>
          </w:p>
        </w:tc>
        <w:tc>
          <w:tcPr>
            <w:tcW w:w="3117" w:type="dxa"/>
            <w:vAlign w:val="center"/>
          </w:tcPr>
          <w:p w14:paraId="658C1580">
            <w:pPr>
              <w:snapToGrid w:val="0"/>
              <w:spacing w:line="340" w:lineRule="exact"/>
              <w:ind w:firstLine="0" w:firstLineChars="0"/>
              <w:jc w:val="center"/>
            </w:pPr>
            <w:r>
              <w:rPr>
                <w:rFonts w:hint="eastAsia"/>
              </w:rPr>
              <w:t>《污水综合排放标准》</w:t>
            </w:r>
          </w:p>
          <w:p w14:paraId="615D10D9">
            <w:pPr>
              <w:snapToGrid w:val="0"/>
              <w:spacing w:line="340" w:lineRule="exact"/>
              <w:ind w:firstLine="0" w:firstLineChars="0"/>
              <w:jc w:val="center"/>
            </w:pPr>
            <w:r>
              <w:rPr>
                <w:rFonts w:hint="eastAsia"/>
              </w:rPr>
              <w:t>（</w:t>
            </w:r>
            <w:r>
              <w:t>GB8978-1996</w:t>
            </w:r>
            <w:r>
              <w:rPr>
                <w:rFonts w:hint="eastAsia"/>
              </w:rPr>
              <w:t>）表</w:t>
            </w:r>
            <w:r>
              <w:t>4</w:t>
            </w:r>
            <w:r>
              <w:rPr>
                <w:rFonts w:hint="eastAsia"/>
              </w:rPr>
              <w:t>中三级标准，即</w:t>
            </w:r>
            <w:r>
              <w:t>COD≤500mg/L</w:t>
            </w:r>
            <w:r>
              <w:rPr>
                <w:rFonts w:hint="eastAsia"/>
              </w:rPr>
              <w:t xml:space="preserve">， </w:t>
            </w:r>
          </w:p>
          <w:p w14:paraId="0DFD143E">
            <w:pPr>
              <w:snapToGrid w:val="0"/>
              <w:spacing w:line="340" w:lineRule="exact"/>
              <w:ind w:firstLine="0" w:firstLineChars="0"/>
              <w:jc w:val="center"/>
            </w:pPr>
            <w:r>
              <w:t>NH</w:t>
            </w:r>
            <w:r>
              <w:rPr>
                <w:vertAlign w:val="subscript"/>
              </w:rPr>
              <w:t>3</w:t>
            </w:r>
            <w:r>
              <w:t>-N≤45mg/L</w:t>
            </w:r>
            <w:r>
              <w:rPr>
                <w:rFonts w:hint="eastAsia"/>
              </w:rPr>
              <w:t xml:space="preserve">， </w:t>
            </w:r>
          </w:p>
          <w:p w14:paraId="4D6E0CA0">
            <w:pPr>
              <w:snapToGrid w:val="0"/>
              <w:spacing w:line="340" w:lineRule="exact"/>
              <w:ind w:firstLine="0" w:firstLineChars="0"/>
              <w:jc w:val="center"/>
            </w:pPr>
            <w:r>
              <w:t>BOD</w:t>
            </w:r>
            <w:r>
              <w:rPr>
                <w:vertAlign w:val="subscript"/>
              </w:rPr>
              <w:t>5</w:t>
            </w:r>
            <w:r>
              <w:t>≤300mg/L</w:t>
            </w:r>
            <w:r>
              <w:rPr>
                <w:rFonts w:hint="eastAsia"/>
              </w:rPr>
              <w:t>，</w:t>
            </w:r>
            <w:r>
              <w:t>SS≤400mg/L</w:t>
            </w:r>
          </w:p>
        </w:tc>
      </w:tr>
      <w:tr w14:paraId="7E6F78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9" w:hRule="atLeast"/>
          <w:jc w:val="center"/>
        </w:trPr>
        <w:tc>
          <w:tcPr>
            <w:tcW w:w="1060" w:type="dxa"/>
            <w:vAlign w:val="center"/>
          </w:tcPr>
          <w:p w14:paraId="5DD1DF52">
            <w:pPr>
              <w:snapToGrid w:val="0"/>
              <w:spacing w:line="340" w:lineRule="exact"/>
              <w:ind w:firstLine="0" w:firstLineChars="0"/>
              <w:jc w:val="center"/>
            </w:pPr>
            <w:r>
              <w:t>声环境</w:t>
            </w:r>
          </w:p>
        </w:tc>
        <w:tc>
          <w:tcPr>
            <w:tcW w:w="1608" w:type="dxa"/>
            <w:vAlign w:val="center"/>
          </w:tcPr>
          <w:p w14:paraId="38879EBE">
            <w:pPr>
              <w:snapToGrid w:val="0"/>
              <w:spacing w:line="340" w:lineRule="exact"/>
              <w:ind w:firstLine="0" w:firstLineChars="0"/>
              <w:jc w:val="center"/>
            </w:pPr>
            <w:r>
              <w:t>厂界四周外1m</w:t>
            </w:r>
          </w:p>
        </w:tc>
        <w:tc>
          <w:tcPr>
            <w:tcW w:w="975" w:type="dxa"/>
            <w:vAlign w:val="center"/>
          </w:tcPr>
          <w:p w14:paraId="37795E8E">
            <w:pPr>
              <w:snapToGrid w:val="0"/>
              <w:spacing w:line="340" w:lineRule="exact"/>
              <w:ind w:firstLine="0" w:firstLineChars="0"/>
              <w:jc w:val="center"/>
            </w:pPr>
            <w:r>
              <w:t>等效A声级</w:t>
            </w:r>
          </w:p>
        </w:tc>
        <w:tc>
          <w:tcPr>
            <w:tcW w:w="2040" w:type="dxa"/>
            <w:vAlign w:val="center"/>
          </w:tcPr>
          <w:p w14:paraId="29C8D62B">
            <w:pPr>
              <w:snapToGrid w:val="0"/>
              <w:spacing w:line="340" w:lineRule="exact"/>
              <w:ind w:firstLine="0" w:firstLineChars="0"/>
              <w:jc w:val="center"/>
            </w:pPr>
            <w:r>
              <w:rPr>
                <w:rFonts w:hint="eastAsia"/>
                <w:lang w:val="en-GB"/>
              </w:rPr>
              <w:t>选用低噪声设备，加强设备维护，高噪声设备设置基础减振、隔声等措施</w:t>
            </w:r>
          </w:p>
        </w:tc>
        <w:tc>
          <w:tcPr>
            <w:tcW w:w="3117" w:type="dxa"/>
            <w:vAlign w:val="center"/>
          </w:tcPr>
          <w:p w14:paraId="4CF40BEB">
            <w:pPr>
              <w:snapToGrid w:val="0"/>
              <w:spacing w:line="340" w:lineRule="exact"/>
              <w:ind w:firstLine="0" w:firstLineChars="0"/>
              <w:jc w:val="center"/>
            </w:pPr>
            <w:r>
              <w:t>满足《工业企业厂界环境噪声排放标准》</w:t>
            </w:r>
            <w:r>
              <w:rPr>
                <w:rFonts w:hint="eastAsia"/>
              </w:rPr>
              <w:t>（</w:t>
            </w:r>
            <w:r>
              <w:t>GB12348-2008</w:t>
            </w:r>
            <w:r>
              <w:rPr>
                <w:rFonts w:hint="eastAsia"/>
              </w:rPr>
              <w:t>）</w:t>
            </w:r>
            <w:r>
              <w:t>中</w:t>
            </w:r>
            <w:r>
              <w:rPr>
                <w:rFonts w:hint="eastAsia"/>
              </w:rPr>
              <w:t>3</w:t>
            </w:r>
            <w:r>
              <w:t>类标准</w:t>
            </w:r>
            <w:r>
              <w:rPr>
                <w:rFonts w:hint="eastAsia"/>
              </w:rPr>
              <w:t>（</w:t>
            </w:r>
            <w:r>
              <w:t>昼间≤6</w:t>
            </w:r>
            <w:r>
              <w:rPr>
                <w:rFonts w:hint="eastAsia"/>
              </w:rPr>
              <w:t>5</w:t>
            </w:r>
            <w:r>
              <w:t>dB</w:t>
            </w:r>
            <w:r>
              <w:rPr>
                <w:rFonts w:hint="eastAsia"/>
              </w:rPr>
              <w:t>（</w:t>
            </w:r>
            <w:r>
              <w:t>A</w:t>
            </w:r>
            <w:r>
              <w:rPr>
                <w:rFonts w:hint="eastAsia"/>
              </w:rPr>
              <w:t>））</w:t>
            </w:r>
          </w:p>
        </w:tc>
      </w:tr>
      <w:tr w14:paraId="2B33CF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060" w:type="dxa"/>
            <w:vAlign w:val="center"/>
          </w:tcPr>
          <w:p w14:paraId="044F01F0">
            <w:pPr>
              <w:snapToGrid w:val="0"/>
              <w:spacing w:line="340" w:lineRule="exact"/>
              <w:ind w:firstLine="0" w:firstLineChars="0"/>
              <w:jc w:val="center"/>
            </w:pPr>
            <w:r>
              <w:t>电磁辐射</w:t>
            </w:r>
          </w:p>
        </w:tc>
        <w:tc>
          <w:tcPr>
            <w:tcW w:w="1608" w:type="dxa"/>
            <w:vAlign w:val="center"/>
          </w:tcPr>
          <w:p w14:paraId="195CAD5D">
            <w:pPr>
              <w:snapToGrid w:val="0"/>
              <w:spacing w:line="340" w:lineRule="exact"/>
              <w:ind w:firstLine="0" w:firstLineChars="0"/>
              <w:jc w:val="center"/>
            </w:pPr>
            <w:r>
              <w:t>/</w:t>
            </w:r>
          </w:p>
        </w:tc>
        <w:tc>
          <w:tcPr>
            <w:tcW w:w="975" w:type="dxa"/>
            <w:vAlign w:val="center"/>
          </w:tcPr>
          <w:p w14:paraId="67F968E5">
            <w:pPr>
              <w:snapToGrid w:val="0"/>
              <w:spacing w:line="340" w:lineRule="exact"/>
              <w:ind w:firstLine="0" w:firstLineChars="0"/>
              <w:jc w:val="center"/>
            </w:pPr>
            <w:r>
              <w:t>/</w:t>
            </w:r>
          </w:p>
        </w:tc>
        <w:tc>
          <w:tcPr>
            <w:tcW w:w="2040" w:type="dxa"/>
            <w:vAlign w:val="center"/>
          </w:tcPr>
          <w:p w14:paraId="564628A3">
            <w:pPr>
              <w:snapToGrid w:val="0"/>
              <w:spacing w:line="340" w:lineRule="exact"/>
              <w:ind w:firstLine="0" w:firstLineChars="0"/>
              <w:jc w:val="center"/>
            </w:pPr>
            <w:r>
              <w:t>/</w:t>
            </w:r>
          </w:p>
        </w:tc>
        <w:tc>
          <w:tcPr>
            <w:tcW w:w="3117" w:type="dxa"/>
            <w:vAlign w:val="center"/>
          </w:tcPr>
          <w:p w14:paraId="592FC2E4">
            <w:pPr>
              <w:snapToGrid w:val="0"/>
              <w:spacing w:line="340" w:lineRule="exact"/>
              <w:ind w:firstLine="0" w:firstLineChars="0"/>
              <w:jc w:val="center"/>
            </w:pPr>
            <w:r>
              <w:t>/</w:t>
            </w:r>
          </w:p>
        </w:tc>
      </w:tr>
      <w:tr w14:paraId="6BBA89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98" w:hRule="atLeast"/>
          <w:jc w:val="center"/>
        </w:trPr>
        <w:tc>
          <w:tcPr>
            <w:tcW w:w="1060" w:type="dxa"/>
            <w:vAlign w:val="center"/>
          </w:tcPr>
          <w:p w14:paraId="247290A3">
            <w:pPr>
              <w:snapToGrid w:val="0"/>
              <w:spacing w:line="340" w:lineRule="exact"/>
              <w:ind w:firstLine="0" w:firstLineChars="0"/>
              <w:jc w:val="center"/>
            </w:pPr>
            <w:r>
              <w:t>固体废物</w:t>
            </w:r>
          </w:p>
        </w:tc>
        <w:tc>
          <w:tcPr>
            <w:tcW w:w="7740" w:type="dxa"/>
            <w:gridSpan w:val="4"/>
            <w:vAlign w:val="center"/>
          </w:tcPr>
          <w:p w14:paraId="2090554C">
            <w:pPr>
              <w:snapToGrid w:val="0"/>
              <w:ind w:firstLine="0" w:firstLineChars="0"/>
              <w:jc w:val="left"/>
              <w:rPr>
                <w:lang w:val="en-GB"/>
              </w:rPr>
            </w:pPr>
            <w:r>
              <w:rPr>
                <w:rFonts w:hint="eastAsia"/>
                <w:lang w:val="en-GB"/>
              </w:rPr>
              <w:t>①</w:t>
            </w:r>
            <w:r>
              <w:rPr>
                <w:lang w:val="en-GB"/>
              </w:rPr>
              <w:t>一般工业固废：</w:t>
            </w:r>
            <w:r>
              <w:rPr>
                <w:rFonts w:hint="eastAsia"/>
              </w:rPr>
              <w:t>拟</w:t>
            </w:r>
            <w:r>
              <w:rPr>
                <w:lang w:val="en-GB"/>
              </w:rPr>
              <w:t>设置一般工业固废暂存间，妥善分类收集后出售给回收企业综合利用；满足《一般工业固体废物贮存和填埋污染控制标准》</w:t>
            </w:r>
            <w:r>
              <w:rPr>
                <w:rFonts w:hint="eastAsia"/>
              </w:rPr>
              <w:t>（</w:t>
            </w:r>
            <w:r>
              <w:rPr>
                <w:lang w:val="en-GB"/>
              </w:rPr>
              <w:t>GB 18599-2020</w:t>
            </w:r>
            <w:r>
              <w:rPr>
                <w:rFonts w:hint="eastAsia"/>
              </w:rPr>
              <w:t>）</w:t>
            </w:r>
            <w:r>
              <w:rPr>
                <w:lang w:val="en-GB"/>
              </w:rPr>
              <w:t>的相关要求；</w:t>
            </w:r>
          </w:p>
          <w:p w14:paraId="3DDF2566">
            <w:pPr>
              <w:snapToGrid w:val="0"/>
              <w:ind w:firstLine="0" w:firstLineChars="0"/>
              <w:jc w:val="left"/>
            </w:pPr>
            <w:r>
              <w:rPr>
                <w:rFonts w:hint="eastAsia"/>
              </w:rPr>
              <w:t>②</w:t>
            </w:r>
            <w:r>
              <w:t>生活垃圾：由垃圾桶收集，由市政环卫部门统一清运处理</w:t>
            </w:r>
          </w:p>
        </w:tc>
      </w:tr>
      <w:tr w14:paraId="738635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0" w:type="dxa"/>
            <w:vAlign w:val="center"/>
          </w:tcPr>
          <w:p w14:paraId="5EADCF34">
            <w:pPr>
              <w:snapToGrid w:val="0"/>
              <w:spacing w:line="340" w:lineRule="exact"/>
              <w:ind w:firstLine="0" w:firstLineChars="0"/>
              <w:jc w:val="center"/>
            </w:pPr>
            <w:r>
              <w:t>土壤及地下水污染防治措施</w:t>
            </w:r>
          </w:p>
        </w:tc>
        <w:tc>
          <w:tcPr>
            <w:tcW w:w="7740" w:type="dxa"/>
            <w:gridSpan w:val="4"/>
            <w:vAlign w:val="center"/>
          </w:tcPr>
          <w:p w14:paraId="183751AA">
            <w:pPr>
              <w:snapToGrid w:val="0"/>
              <w:ind w:firstLine="0" w:firstLineChars="0"/>
              <w:jc w:val="center"/>
              <w:rPr>
                <w:rFonts w:ascii="等线" w:hAnsi="等线" w:eastAsia="等线"/>
                <w:sz w:val="21"/>
                <w:szCs w:val="22"/>
              </w:rPr>
            </w:pPr>
            <w:r>
              <w:rPr>
                <w:rFonts w:hint="eastAsia"/>
                <w:lang w:val="en-GB"/>
              </w:rPr>
              <w:t>合理进行防渗区域划分，按重点污染区防渗要求进行建设：一般工业固废间、项目生产车间等按一般污染区防渗要求进行建设，且具有防雨、防渗、防风、防日晒等功能</w:t>
            </w:r>
          </w:p>
        </w:tc>
      </w:tr>
      <w:tr w14:paraId="7580E8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1060" w:type="dxa"/>
            <w:vAlign w:val="center"/>
          </w:tcPr>
          <w:p w14:paraId="6018B690">
            <w:pPr>
              <w:snapToGrid w:val="0"/>
              <w:spacing w:line="340" w:lineRule="exact"/>
              <w:ind w:firstLine="0" w:firstLineChars="0"/>
              <w:jc w:val="center"/>
            </w:pPr>
            <w:r>
              <w:t>生态保护措施</w:t>
            </w:r>
          </w:p>
        </w:tc>
        <w:tc>
          <w:tcPr>
            <w:tcW w:w="7740" w:type="dxa"/>
            <w:gridSpan w:val="4"/>
            <w:vAlign w:val="center"/>
          </w:tcPr>
          <w:p w14:paraId="4C72D186">
            <w:pPr>
              <w:ind w:firstLine="0" w:firstLineChars="0"/>
              <w:jc w:val="center"/>
            </w:pPr>
            <w:r>
              <w:t>无</w:t>
            </w:r>
          </w:p>
        </w:tc>
      </w:tr>
      <w:tr w14:paraId="63B525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5" w:hRule="atLeast"/>
          <w:jc w:val="center"/>
        </w:trPr>
        <w:tc>
          <w:tcPr>
            <w:tcW w:w="1060" w:type="dxa"/>
            <w:vAlign w:val="center"/>
          </w:tcPr>
          <w:p w14:paraId="636FB959">
            <w:pPr>
              <w:snapToGrid w:val="0"/>
              <w:spacing w:line="340" w:lineRule="exact"/>
              <w:ind w:firstLine="0" w:firstLineChars="0"/>
              <w:jc w:val="center"/>
            </w:pPr>
            <w:r>
              <w:t>环境风险防范措施</w:t>
            </w:r>
          </w:p>
        </w:tc>
        <w:tc>
          <w:tcPr>
            <w:tcW w:w="7740" w:type="dxa"/>
            <w:gridSpan w:val="4"/>
            <w:vAlign w:val="center"/>
          </w:tcPr>
          <w:p w14:paraId="7B4C533B">
            <w:pPr>
              <w:widowControl/>
              <w:ind w:firstLine="0" w:firstLineChars="0"/>
              <w:jc w:val="center"/>
            </w:pPr>
            <w:r>
              <w:rPr>
                <w:rFonts w:hint="eastAsia"/>
              </w:rPr>
              <w:t>厂区内严禁烟火，严格动火审批制度；加强生产管理和贮运管理；设置完善的消防系统；开展员工上岗、安全培训等</w:t>
            </w:r>
            <w:r>
              <w:rPr>
                <w:rFonts w:hint="eastAsia" w:ascii="宋体" w:hAnsi="宋体" w:cs="宋体"/>
                <w:kern w:val="0"/>
                <w:lang w:bidi="ar"/>
              </w:rPr>
              <w:t>。</w:t>
            </w:r>
          </w:p>
        </w:tc>
      </w:tr>
      <w:tr w14:paraId="60503E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1060" w:type="dxa"/>
            <w:vAlign w:val="center"/>
          </w:tcPr>
          <w:p w14:paraId="720200F9">
            <w:pPr>
              <w:snapToGrid w:val="0"/>
              <w:spacing w:line="340" w:lineRule="exact"/>
              <w:ind w:firstLine="0" w:firstLineChars="0"/>
              <w:jc w:val="center"/>
            </w:pPr>
            <w:r>
              <w:t>其他环境管理要求</w:t>
            </w:r>
          </w:p>
        </w:tc>
        <w:tc>
          <w:tcPr>
            <w:tcW w:w="7740" w:type="dxa"/>
            <w:gridSpan w:val="4"/>
            <w:vAlign w:val="center"/>
          </w:tcPr>
          <w:p w14:paraId="70FA2445">
            <w:pPr>
              <w:adjustRightInd w:val="0"/>
              <w:snapToGrid w:val="0"/>
              <w:spacing w:before="120" w:beforeLines="50"/>
              <w:ind w:firstLine="0" w:firstLineChars="0"/>
              <w:jc w:val="left"/>
              <w:rPr>
                <w:b/>
                <w:bCs/>
              </w:rPr>
            </w:pPr>
            <w:r>
              <w:rPr>
                <w:rFonts w:hint="eastAsia"/>
                <w:b/>
                <w:bCs/>
              </w:rPr>
              <w:t>1</w:t>
            </w:r>
            <w:r>
              <w:rPr>
                <w:b/>
                <w:bCs/>
              </w:rPr>
              <w:t>、排污许可管理要求</w:t>
            </w:r>
          </w:p>
          <w:p w14:paraId="02CA72D5">
            <w:pPr>
              <w:ind w:firstLine="480"/>
            </w:pPr>
            <w:r>
              <w:t>根据环境保护部发布的《固定污染源排污许可分类管理名录（20</w:t>
            </w:r>
            <w:r>
              <w:rPr>
                <w:rFonts w:hint="eastAsia"/>
              </w:rPr>
              <w:t>19</w:t>
            </w:r>
            <w:r>
              <w:t>年版）》，本项目属于</w:t>
            </w:r>
            <w:r>
              <w:rPr>
                <w:rFonts w:hint="eastAsia"/>
              </w:rPr>
              <w:t>简化</w:t>
            </w:r>
            <w:r>
              <w:t>管理。因此，建设单位应当在启动生产设施或者发生实际排污之前在全国排污许可证管理信息平台</w:t>
            </w:r>
            <w:r>
              <w:rPr>
                <w:rFonts w:hint="eastAsia"/>
              </w:rPr>
              <w:t>进行填报</w:t>
            </w:r>
            <w:r>
              <w:t>。</w:t>
            </w:r>
          </w:p>
          <w:p w14:paraId="469F03DF">
            <w:pPr>
              <w:spacing w:before="120" w:beforeLines="50" w:line="240" w:lineRule="auto"/>
              <w:ind w:firstLine="0" w:firstLineChars="0"/>
              <w:jc w:val="center"/>
              <w:rPr>
                <w:color w:val="FF0000"/>
              </w:rPr>
            </w:pPr>
            <w:r>
              <w:rPr>
                <w:b/>
                <w:bCs/>
              </w:rPr>
              <w:t>表</w:t>
            </w:r>
            <w:r>
              <w:rPr>
                <w:rFonts w:hint="eastAsia"/>
                <w:b/>
                <w:bCs/>
              </w:rPr>
              <w:t>1</w:t>
            </w:r>
            <w:r>
              <w:rPr>
                <w:b/>
                <w:bCs/>
              </w:rPr>
              <w:t>-1 固定污染源排污许可分类管理名录</w:t>
            </w:r>
            <w:r>
              <w:rPr>
                <w:rFonts w:hint="eastAsia"/>
                <w:b/>
                <w:bCs/>
              </w:rPr>
              <w:t>（</w:t>
            </w:r>
            <w:r>
              <w:rPr>
                <w:b/>
                <w:bCs/>
              </w:rPr>
              <w:t>摘录</w:t>
            </w:r>
            <w:r>
              <w:rPr>
                <w:rFonts w:hint="eastAsia"/>
                <w:b/>
                <w:bCs/>
              </w:rPr>
              <w:t>）</w:t>
            </w:r>
          </w:p>
          <w:tbl>
            <w:tblPr>
              <w:tblStyle w:val="30"/>
              <w:tblW w:w="759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368"/>
              <w:gridCol w:w="1590"/>
              <w:gridCol w:w="2025"/>
              <w:gridCol w:w="1953"/>
            </w:tblGrid>
            <w:tr w14:paraId="6C4EDD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661" w:type="dxa"/>
                  <w:shd w:val="clear" w:color="auto" w:fill="auto"/>
                  <w:vAlign w:val="center"/>
                </w:tcPr>
                <w:p w14:paraId="4CDE856E">
                  <w:pPr>
                    <w:snapToGrid w:val="0"/>
                    <w:spacing w:line="340" w:lineRule="exact"/>
                    <w:ind w:firstLine="0" w:firstLineChars="0"/>
                    <w:jc w:val="center"/>
                    <w:rPr>
                      <w:b/>
                      <w:bCs/>
                      <w:sz w:val="21"/>
                      <w:szCs w:val="21"/>
                    </w:rPr>
                  </w:pPr>
                  <w:r>
                    <w:rPr>
                      <w:b/>
                      <w:bCs/>
                      <w:sz w:val="21"/>
                      <w:szCs w:val="21"/>
                    </w:rPr>
                    <w:t>序号</w:t>
                  </w:r>
                </w:p>
              </w:tc>
              <w:tc>
                <w:tcPr>
                  <w:tcW w:w="1368" w:type="dxa"/>
                  <w:shd w:val="clear" w:color="auto" w:fill="auto"/>
                  <w:vAlign w:val="center"/>
                </w:tcPr>
                <w:p w14:paraId="3420C27F">
                  <w:pPr>
                    <w:snapToGrid w:val="0"/>
                    <w:spacing w:line="340" w:lineRule="exact"/>
                    <w:ind w:firstLine="0" w:firstLineChars="0"/>
                    <w:jc w:val="center"/>
                    <w:rPr>
                      <w:b/>
                      <w:bCs/>
                      <w:sz w:val="21"/>
                      <w:szCs w:val="21"/>
                    </w:rPr>
                  </w:pPr>
                  <w:r>
                    <w:rPr>
                      <w:b/>
                      <w:bCs/>
                      <w:sz w:val="21"/>
                      <w:szCs w:val="21"/>
                    </w:rPr>
                    <w:t>行业类别</w:t>
                  </w:r>
                </w:p>
              </w:tc>
              <w:tc>
                <w:tcPr>
                  <w:tcW w:w="1590" w:type="dxa"/>
                  <w:shd w:val="clear" w:color="auto" w:fill="auto"/>
                  <w:vAlign w:val="center"/>
                </w:tcPr>
                <w:p w14:paraId="2BB15066">
                  <w:pPr>
                    <w:snapToGrid w:val="0"/>
                    <w:spacing w:line="340" w:lineRule="exact"/>
                    <w:ind w:firstLine="0" w:firstLineChars="0"/>
                    <w:jc w:val="center"/>
                    <w:rPr>
                      <w:b/>
                      <w:bCs/>
                      <w:sz w:val="21"/>
                      <w:szCs w:val="21"/>
                    </w:rPr>
                  </w:pPr>
                  <w:r>
                    <w:rPr>
                      <w:b/>
                      <w:bCs/>
                      <w:sz w:val="21"/>
                      <w:szCs w:val="21"/>
                    </w:rPr>
                    <w:t>重点管理</w:t>
                  </w:r>
                </w:p>
              </w:tc>
              <w:tc>
                <w:tcPr>
                  <w:tcW w:w="2025" w:type="dxa"/>
                  <w:shd w:val="clear" w:color="auto" w:fill="D7D7D7" w:themeFill="background1" w:themeFillShade="D8"/>
                  <w:vAlign w:val="center"/>
                </w:tcPr>
                <w:p w14:paraId="4B6EA14D">
                  <w:pPr>
                    <w:snapToGrid w:val="0"/>
                    <w:spacing w:line="340" w:lineRule="exact"/>
                    <w:ind w:firstLine="0" w:firstLineChars="0"/>
                    <w:jc w:val="center"/>
                    <w:rPr>
                      <w:b/>
                      <w:bCs/>
                      <w:sz w:val="21"/>
                      <w:szCs w:val="21"/>
                    </w:rPr>
                  </w:pPr>
                  <w:r>
                    <w:rPr>
                      <w:b/>
                      <w:bCs/>
                      <w:sz w:val="21"/>
                      <w:szCs w:val="21"/>
                    </w:rPr>
                    <w:t>简化管理</w:t>
                  </w:r>
                </w:p>
              </w:tc>
              <w:tc>
                <w:tcPr>
                  <w:tcW w:w="1953" w:type="dxa"/>
                  <w:shd w:val="clear" w:color="auto" w:fill="FFFFFF" w:themeFill="background1"/>
                  <w:vAlign w:val="center"/>
                </w:tcPr>
                <w:p w14:paraId="02782029">
                  <w:pPr>
                    <w:snapToGrid w:val="0"/>
                    <w:spacing w:line="340" w:lineRule="exact"/>
                    <w:ind w:firstLine="0" w:firstLineChars="0"/>
                    <w:jc w:val="center"/>
                    <w:rPr>
                      <w:b/>
                      <w:bCs/>
                      <w:sz w:val="21"/>
                      <w:szCs w:val="21"/>
                    </w:rPr>
                  </w:pPr>
                  <w:r>
                    <w:rPr>
                      <w:b/>
                      <w:bCs/>
                      <w:sz w:val="21"/>
                      <w:szCs w:val="21"/>
                    </w:rPr>
                    <w:t>登记管理</w:t>
                  </w:r>
                </w:p>
              </w:tc>
            </w:tr>
            <w:tr w14:paraId="1F1B9D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7597" w:type="dxa"/>
                  <w:gridSpan w:val="5"/>
                  <w:shd w:val="clear" w:color="auto" w:fill="D7D7D7"/>
                  <w:vAlign w:val="center"/>
                </w:tcPr>
                <w:p w14:paraId="13C54168">
                  <w:pPr>
                    <w:snapToGrid w:val="0"/>
                    <w:spacing w:line="300" w:lineRule="exact"/>
                    <w:ind w:firstLine="0" w:firstLineChars="0"/>
                    <w:jc w:val="center"/>
                    <w:rPr>
                      <w:b/>
                      <w:bCs/>
                      <w:sz w:val="21"/>
                      <w:szCs w:val="21"/>
                    </w:rPr>
                  </w:pPr>
                  <w:r>
                    <w:rPr>
                      <w:rFonts w:hint="eastAsia"/>
                      <w:b/>
                      <w:bCs/>
                      <w:sz w:val="21"/>
                      <w:szCs w:val="21"/>
                    </w:rPr>
                    <w:t>二十五、非金属矿物制品业 30</w:t>
                  </w:r>
                </w:p>
              </w:tc>
            </w:tr>
            <w:tr w14:paraId="0B320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9" w:hRule="atLeast"/>
                <w:jc w:val="center"/>
              </w:trPr>
              <w:tc>
                <w:tcPr>
                  <w:tcW w:w="661" w:type="dxa"/>
                  <w:shd w:val="clear" w:color="auto" w:fill="auto"/>
                  <w:vAlign w:val="center"/>
                </w:tcPr>
                <w:p w14:paraId="5A0937D3">
                  <w:pPr>
                    <w:snapToGrid w:val="0"/>
                    <w:spacing w:line="300" w:lineRule="exact"/>
                    <w:ind w:firstLine="0" w:firstLineChars="0"/>
                    <w:jc w:val="center"/>
                    <w:rPr>
                      <w:sz w:val="21"/>
                      <w:szCs w:val="21"/>
                      <w:lang w:eastAsia="en-US"/>
                    </w:rPr>
                  </w:pPr>
                  <w:r>
                    <w:rPr>
                      <w:rFonts w:hint="eastAsia"/>
                      <w:sz w:val="21"/>
                      <w:szCs w:val="21"/>
                    </w:rPr>
                    <w:t>64</w:t>
                  </w:r>
                </w:p>
              </w:tc>
              <w:tc>
                <w:tcPr>
                  <w:tcW w:w="1368" w:type="dxa"/>
                  <w:shd w:val="clear" w:color="auto" w:fill="auto"/>
                  <w:vAlign w:val="center"/>
                </w:tcPr>
                <w:p w14:paraId="1D51515F">
                  <w:pPr>
                    <w:snapToGrid w:val="0"/>
                    <w:spacing w:line="300" w:lineRule="exact"/>
                    <w:ind w:firstLine="0" w:firstLineChars="0"/>
                    <w:jc w:val="center"/>
                    <w:rPr>
                      <w:sz w:val="21"/>
                      <w:szCs w:val="21"/>
                    </w:rPr>
                  </w:pPr>
                  <w:r>
                    <w:rPr>
                      <w:rFonts w:hint="eastAsia"/>
                      <w:sz w:val="21"/>
                      <w:szCs w:val="21"/>
                    </w:rPr>
                    <w:t>砖瓦、石材等建筑材料制造303</w:t>
                  </w:r>
                </w:p>
              </w:tc>
              <w:tc>
                <w:tcPr>
                  <w:tcW w:w="1590" w:type="dxa"/>
                  <w:shd w:val="clear" w:color="auto" w:fill="auto"/>
                  <w:vAlign w:val="center"/>
                </w:tcPr>
                <w:p w14:paraId="7717AC74">
                  <w:pPr>
                    <w:snapToGrid w:val="0"/>
                    <w:spacing w:line="300" w:lineRule="exact"/>
                    <w:ind w:firstLine="0" w:firstLineChars="0"/>
                    <w:jc w:val="center"/>
                    <w:rPr>
                      <w:sz w:val="21"/>
                      <w:szCs w:val="21"/>
                    </w:rPr>
                  </w:pPr>
                  <w:r>
                    <w:rPr>
                      <w:rFonts w:hint="eastAsia"/>
                      <w:sz w:val="21"/>
                      <w:szCs w:val="21"/>
                    </w:rPr>
                    <w:t>粘土砖瓦及建筑砌块制造3031（以煤或者煤矸石为燃料的烧结砖瓦）</w:t>
                  </w:r>
                </w:p>
              </w:tc>
              <w:tc>
                <w:tcPr>
                  <w:tcW w:w="2025" w:type="dxa"/>
                  <w:shd w:val="clear" w:color="auto" w:fill="D7D7D7"/>
                  <w:vAlign w:val="center"/>
                </w:tcPr>
                <w:p w14:paraId="12462B6E">
                  <w:pPr>
                    <w:snapToGrid w:val="0"/>
                    <w:spacing w:line="300" w:lineRule="exact"/>
                    <w:ind w:firstLine="0" w:firstLineChars="0"/>
                    <w:jc w:val="center"/>
                    <w:rPr>
                      <w:sz w:val="21"/>
                      <w:szCs w:val="21"/>
                    </w:rPr>
                  </w:pPr>
                  <w:r>
                    <w:rPr>
                      <w:rFonts w:hint="eastAsia"/>
                      <w:sz w:val="21"/>
                      <w:szCs w:val="21"/>
                    </w:rPr>
                    <w:t>粘土砖瓦及建筑砌块制造3031（除以煤或者煤矸石为燃料的烧结砖瓦以外的），建筑用石加工3032，防水建筑材料制造3033，隔热和隔音材料制造3034，其他建筑材料制造3039，以上均不含仅切割加工的</w:t>
                  </w:r>
                </w:p>
              </w:tc>
              <w:tc>
                <w:tcPr>
                  <w:tcW w:w="1953" w:type="dxa"/>
                  <w:shd w:val="clear" w:color="auto" w:fill="FFFFFF"/>
                  <w:vAlign w:val="center"/>
                </w:tcPr>
                <w:p w14:paraId="08F02CA3">
                  <w:pPr>
                    <w:snapToGrid w:val="0"/>
                    <w:spacing w:line="300" w:lineRule="exact"/>
                    <w:ind w:firstLine="0" w:firstLineChars="0"/>
                    <w:jc w:val="center"/>
                    <w:rPr>
                      <w:sz w:val="21"/>
                      <w:szCs w:val="21"/>
                    </w:rPr>
                  </w:pPr>
                  <w:r>
                    <w:rPr>
                      <w:rFonts w:hint="eastAsia"/>
                      <w:sz w:val="21"/>
                      <w:szCs w:val="21"/>
                    </w:rPr>
                    <w:t>仅切割加工的</w:t>
                  </w:r>
                </w:p>
              </w:tc>
            </w:tr>
          </w:tbl>
          <w:p w14:paraId="2A80C504">
            <w:pPr>
              <w:adjustRightInd w:val="0"/>
              <w:snapToGrid w:val="0"/>
              <w:spacing w:before="120" w:beforeLines="50"/>
              <w:ind w:firstLine="0" w:firstLineChars="0"/>
              <w:jc w:val="left"/>
            </w:pPr>
            <w:r>
              <w:rPr>
                <w:rFonts w:hint="eastAsia"/>
                <w:b/>
                <w:bCs/>
              </w:rPr>
              <w:t>2、</w:t>
            </w:r>
            <w:r>
              <w:rPr>
                <w:b/>
                <w:bCs/>
              </w:rPr>
              <w:t>自行监测计划</w:t>
            </w:r>
            <w:r>
              <w:rPr>
                <w:rFonts w:hint="eastAsia"/>
              </w:rPr>
              <w:t xml:space="preserve"> </w:t>
            </w:r>
          </w:p>
          <w:p w14:paraId="7B8FF754">
            <w:pPr>
              <w:pStyle w:val="139"/>
            </w:pPr>
            <w:r>
              <w:rPr>
                <w:rFonts w:hint="eastAsia"/>
              </w:rPr>
              <w:t>企业定期进行污染源监测，监测工作委托有监测资质的监测单位进行。参照《排污单位自行监测技术指南 总则》（HJ 819—2017）和《排污许可证申请与核发技术规范 工业噪声》（HJ1301-2023）等技术规范，制定企业污染源监测计划，内容见表</w:t>
            </w:r>
            <w:r>
              <w:rPr>
                <w:rFonts w:hint="eastAsia" w:cs="Times New Roman"/>
              </w:rPr>
              <w:t>2-1</w:t>
            </w:r>
            <w:r>
              <w:rPr>
                <w:rFonts w:hint="eastAsia"/>
              </w:rPr>
              <w:t>。</w:t>
            </w:r>
          </w:p>
          <w:p w14:paraId="42B48DB8">
            <w:pPr>
              <w:pStyle w:val="143"/>
              <w:rPr>
                <w:color w:val="000000"/>
              </w:rPr>
            </w:pPr>
            <w:r>
              <w:rPr>
                <w:rFonts w:hint="eastAsia"/>
                <w:color w:val="000000"/>
              </w:rPr>
              <w:t>表2-1  项目运营期监测计划一览表</w:t>
            </w:r>
          </w:p>
          <w:tbl>
            <w:tblPr>
              <w:tblStyle w:val="3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4"/>
              <w:gridCol w:w="826"/>
              <w:gridCol w:w="1788"/>
              <w:gridCol w:w="2173"/>
              <w:gridCol w:w="1048"/>
              <w:gridCol w:w="1310"/>
            </w:tblGrid>
            <w:tr w14:paraId="76228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49" w:type="pct"/>
                  <w:tcMar>
                    <w:left w:w="0" w:type="dxa"/>
                    <w:right w:w="0" w:type="dxa"/>
                  </w:tcMar>
                  <w:vAlign w:val="center"/>
                </w:tcPr>
                <w:p w14:paraId="5C69E7EC">
                  <w:pPr>
                    <w:pStyle w:val="144"/>
                    <w:rPr>
                      <w:b/>
                      <w:bCs/>
                    </w:rPr>
                  </w:pPr>
                  <w:r>
                    <w:rPr>
                      <w:rFonts w:hint="eastAsia"/>
                      <w:b/>
                      <w:bCs/>
                    </w:rPr>
                    <w:t>序号</w:t>
                  </w:r>
                </w:p>
              </w:tc>
              <w:tc>
                <w:tcPr>
                  <w:tcW w:w="549" w:type="pct"/>
                  <w:tcMar>
                    <w:left w:w="0" w:type="dxa"/>
                    <w:right w:w="0" w:type="dxa"/>
                  </w:tcMar>
                  <w:vAlign w:val="center"/>
                </w:tcPr>
                <w:p w14:paraId="322B6A5F">
                  <w:pPr>
                    <w:pStyle w:val="144"/>
                    <w:rPr>
                      <w:b/>
                      <w:bCs/>
                    </w:rPr>
                  </w:pPr>
                  <w:r>
                    <w:rPr>
                      <w:rFonts w:hint="eastAsia"/>
                      <w:b/>
                      <w:bCs/>
                    </w:rPr>
                    <w:t>监测内容</w:t>
                  </w:r>
                </w:p>
              </w:tc>
              <w:tc>
                <w:tcPr>
                  <w:tcW w:w="1188" w:type="pct"/>
                  <w:tcMar>
                    <w:left w:w="0" w:type="dxa"/>
                    <w:right w:w="0" w:type="dxa"/>
                  </w:tcMar>
                  <w:vAlign w:val="center"/>
                </w:tcPr>
                <w:p w14:paraId="3745E42E">
                  <w:pPr>
                    <w:pStyle w:val="144"/>
                    <w:rPr>
                      <w:b/>
                      <w:bCs/>
                    </w:rPr>
                  </w:pPr>
                  <w:r>
                    <w:rPr>
                      <w:rFonts w:hint="eastAsia"/>
                      <w:b/>
                      <w:bCs/>
                    </w:rPr>
                    <w:t>监测点位</w:t>
                  </w:r>
                </w:p>
              </w:tc>
              <w:tc>
                <w:tcPr>
                  <w:tcW w:w="1444" w:type="pct"/>
                  <w:tcMar>
                    <w:left w:w="0" w:type="dxa"/>
                    <w:right w:w="0" w:type="dxa"/>
                  </w:tcMar>
                  <w:vAlign w:val="center"/>
                </w:tcPr>
                <w:p w14:paraId="4BCE7324">
                  <w:pPr>
                    <w:pStyle w:val="144"/>
                    <w:rPr>
                      <w:b/>
                      <w:bCs/>
                    </w:rPr>
                  </w:pPr>
                  <w:r>
                    <w:rPr>
                      <w:rFonts w:hint="eastAsia"/>
                      <w:b/>
                      <w:bCs/>
                    </w:rPr>
                    <w:t>监测项目</w:t>
                  </w:r>
                </w:p>
              </w:tc>
              <w:tc>
                <w:tcPr>
                  <w:tcW w:w="697" w:type="pct"/>
                  <w:tcMar>
                    <w:left w:w="0" w:type="dxa"/>
                    <w:right w:w="0" w:type="dxa"/>
                  </w:tcMar>
                  <w:vAlign w:val="center"/>
                </w:tcPr>
                <w:p w14:paraId="134135D7">
                  <w:pPr>
                    <w:pStyle w:val="144"/>
                    <w:rPr>
                      <w:b/>
                      <w:bCs/>
                    </w:rPr>
                  </w:pPr>
                  <w:r>
                    <w:rPr>
                      <w:rFonts w:hint="eastAsia"/>
                      <w:b/>
                      <w:bCs/>
                    </w:rPr>
                    <w:t>监测频率</w:t>
                  </w:r>
                </w:p>
              </w:tc>
              <w:tc>
                <w:tcPr>
                  <w:tcW w:w="870" w:type="pct"/>
                  <w:tcMar>
                    <w:left w:w="0" w:type="dxa"/>
                    <w:right w:w="0" w:type="dxa"/>
                  </w:tcMar>
                  <w:vAlign w:val="center"/>
                </w:tcPr>
                <w:p w14:paraId="493625B6">
                  <w:pPr>
                    <w:pStyle w:val="144"/>
                    <w:rPr>
                      <w:b/>
                      <w:bCs/>
                    </w:rPr>
                  </w:pPr>
                  <w:r>
                    <w:rPr>
                      <w:rFonts w:hint="eastAsia"/>
                      <w:b/>
                      <w:bCs/>
                    </w:rPr>
                    <w:t>备注</w:t>
                  </w:r>
                </w:p>
              </w:tc>
            </w:tr>
            <w:tr w14:paraId="0F5A9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49" w:type="pct"/>
                  <w:tcMar>
                    <w:left w:w="0" w:type="dxa"/>
                    <w:right w:w="0" w:type="dxa"/>
                  </w:tcMar>
                  <w:vAlign w:val="center"/>
                </w:tcPr>
                <w:p w14:paraId="60C16183">
                  <w:pPr>
                    <w:pStyle w:val="144"/>
                    <w:rPr>
                      <w:color w:val="000000"/>
                    </w:rPr>
                  </w:pPr>
                  <w:r>
                    <w:rPr>
                      <w:rFonts w:hint="eastAsia"/>
                      <w:color w:val="000000"/>
                    </w:rPr>
                    <w:t>1</w:t>
                  </w:r>
                </w:p>
              </w:tc>
              <w:tc>
                <w:tcPr>
                  <w:tcW w:w="549" w:type="pct"/>
                  <w:vMerge w:val="restart"/>
                  <w:tcMar>
                    <w:left w:w="0" w:type="dxa"/>
                    <w:right w:w="0" w:type="dxa"/>
                  </w:tcMar>
                  <w:vAlign w:val="center"/>
                </w:tcPr>
                <w:p w14:paraId="497FD615">
                  <w:pPr>
                    <w:pStyle w:val="144"/>
                    <w:rPr>
                      <w:color w:val="000000"/>
                    </w:rPr>
                  </w:pPr>
                  <w:r>
                    <w:rPr>
                      <w:rFonts w:hint="eastAsia"/>
                      <w:color w:val="000000"/>
                    </w:rPr>
                    <w:t>废气</w:t>
                  </w:r>
                </w:p>
              </w:tc>
              <w:tc>
                <w:tcPr>
                  <w:tcW w:w="1188" w:type="pct"/>
                  <w:tcMar>
                    <w:left w:w="28" w:type="dxa"/>
                    <w:right w:w="28" w:type="dxa"/>
                  </w:tcMar>
                  <w:vAlign w:val="center"/>
                </w:tcPr>
                <w:p w14:paraId="1AC0111B">
                  <w:pPr>
                    <w:pStyle w:val="144"/>
                    <w:rPr>
                      <w:color w:val="000000"/>
                    </w:rPr>
                  </w:pPr>
                  <w:r>
                    <w:rPr>
                      <w:color w:val="000000"/>
                    </w:rPr>
                    <w:t>DA001排气筒</w:t>
                  </w:r>
                </w:p>
              </w:tc>
              <w:tc>
                <w:tcPr>
                  <w:tcW w:w="1444" w:type="pct"/>
                  <w:tcMar>
                    <w:left w:w="0" w:type="dxa"/>
                    <w:right w:w="0" w:type="dxa"/>
                  </w:tcMar>
                  <w:vAlign w:val="center"/>
                </w:tcPr>
                <w:p w14:paraId="4EA79E4B">
                  <w:pPr>
                    <w:adjustRightInd w:val="0"/>
                    <w:snapToGrid w:val="0"/>
                    <w:spacing w:line="240" w:lineRule="auto"/>
                    <w:ind w:firstLine="0" w:firstLineChars="0"/>
                    <w:jc w:val="center"/>
                    <w:rPr>
                      <w:iCs/>
                      <w:color w:val="000000"/>
                      <w:sz w:val="21"/>
                      <w:szCs w:val="21"/>
                    </w:rPr>
                  </w:pPr>
                  <w:r>
                    <w:rPr>
                      <w:rFonts w:hint="eastAsia"/>
                      <w:iCs/>
                      <w:color w:val="000000"/>
                      <w:sz w:val="21"/>
                      <w:szCs w:val="21"/>
                    </w:rPr>
                    <w:t>颗粒物</w:t>
                  </w:r>
                </w:p>
              </w:tc>
              <w:tc>
                <w:tcPr>
                  <w:tcW w:w="697" w:type="pct"/>
                  <w:tcMar>
                    <w:left w:w="0" w:type="dxa"/>
                    <w:right w:w="0" w:type="dxa"/>
                  </w:tcMar>
                  <w:vAlign w:val="center"/>
                </w:tcPr>
                <w:p w14:paraId="10F2D914">
                  <w:pPr>
                    <w:pStyle w:val="144"/>
                    <w:rPr>
                      <w:color w:val="000000"/>
                    </w:rPr>
                  </w:pPr>
                  <w:r>
                    <w:rPr>
                      <w:color w:val="000000"/>
                    </w:rPr>
                    <w:t>1</w:t>
                  </w:r>
                  <w:r>
                    <w:rPr>
                      <w:rFonts w:hint="eastAsia"/>
                      <w:color w:val="000000"/>
                    </w:rPr>
                    <w:t>次</w:t>
                  </w:r>
                  <w:r>
                    <w:rPr>
                      <w:color w:val="000000"/>
                    </w:rPr>
                    <w:t>/</w:t>
                  </w:r>
                  <w:r>
                    <w:rPr>
                      <w:rFonts w:hint="eastAsia"/>
                      <w:color w:val="000000"/>
                    </w:rPr>
                    <w:t>年</w:t>
                  </w:r>
                </w:p>
              </w:tc>
              <w:tc>
                <w:tcPr>
                  <w:tcW w:w="870" w:type="pct"/>
                  <w:tcMar>
                    <w:left w:w="0" w:type="dxa"/>
                    <w:right w:w="0" w:type="dxa"/>
                  </w:tcMar>
                  <w:vAlign w:val="center"/>
                </w:tcPr>
                <w:p w14:paraId="777B4733">
                  <w:pPr>
                    <w:pStyle w:val="144"/>
                    <w:rPr>
                      <w:color w:val="000000"/>
                    </w:rPr>
                  </w:pPr>
                  <w:r>
                    <w:rPr>
                      <w:rFonts w:hint="eastAsia"/>
                      <w:color w:val="000000"/>
                    </w:rPr>
                    <w:t>/</w:t>
                  </w:r>
                </w:p>
              </w:tc>
            </w:tr>
            <w:tr w14:paraId="592C7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49" w:type="pct"/>
                  <w:tcMar>
                    <w:left w:w="0" w:type="dxa"/>
                    <w:right w:w="0" w:type="dxa"/>
                  </w:tcMar>
                  <w:vAlign w:val="center"/>
                </w:tcPr>
                <w:p w14:paraId="4381DFDD">
                  <w:pPr>
                    <w:pStyle w:val="144"/>
                    <w:rPr>
                      <w:color w:val="000000"/>
                    </w:rPr>
                  </w:pPr>
                  <w:r>
                    <w:rPr>
                      <w:rFonts w:hint="eastAsia"/>
                      <w:color w:val="000000"/>
                    </w:rPr>
                    <w:t>2</w:t>
                  </w:r>
                </w:p>
              </w:tc>
              <w:tc>
                <w:tcPr>
                  <w:tcW w:w="549" w:type="pct"/>
                  <w:vMerge w:val="continue"/>
                  <w:tcMar>
                    <w:left w:w="0" w:type="dxa"/>
                    <w:right w:w="0" w:type="dxa"/>
                  </w:tcMar>
                  <w:vAlign w:val="center"/>
                </w:tcPr>
                <w:p w14:paraId="7186700B">
                  <w:pPr>
                    <w:pStyle w:val="144"/>
                    <w:rPr>
                      <w:color w:val="000000"/>
                    </w:rPr>
                  </w:pPr>
                </w:p>
              </w:tc>
              <w:tc>
                <w:tcPr>
                  <w:tcW w:w="1188" w:type="pct"/>
                  <w:tcMar>
                    <w:left w:w="28" w:type="dxa"/>
                    <w:right w:w="28" w:type="dxa"/>
                  </w:tcMar>
                  <w:vAlign w:val="center"/>
                </w:tcPr>
                <w:p w14:paraId="6E188DAD">
                  <w:pPr>
                    <w:pStyle w:val="144"/>
                    <w:rPr>
                      <w:color w:val="000000"/>
                    </w:rPr>
                  </w:pPr>
                  <w:r>
                    <w:rPr>
                      <w:color w:val="000000"/>
                    </w:rPr>
                    <w:t>厂界上风向和下风向</w:t>
                  </w:r>
                </w:p>
              </w:tc>
              <w:tc>
                <w:tcPr>
                  <w:tcW w:w="1444" w:type="pct"/>
                  <w:tcMar>
                    <w:left w:w="0" w:type="dxa"/>
                    <w:right w:w="0" w:type="dxa"/>
                  </w:tcMar>
                  <w:vAlign w:val="center"/>
                </w:tcPr>
                <w:p w14:paraId="2FA8CB5A">
                  <w:pPr>
                    <w:pStyle w:val="144"/>
                    <w:rPr>
                      <w:color w:val="000000"/>
                    </w:rPr>
                  </w:pPr>
                  <w:r>
                    <w:rPr>
                      <w:rFonts w:hint="eastAsia"/>
                      <w:color w:val="000000"/>
                    </w:rPr>
                    <w:t>颗粒物</w:t>
                  </w:r>
                </w:p>
              </w:tc>
              <w:tc>
                <w:tcPr>
                  <w:tcW w:w="697" w:type="pct"/>
                  <w:tcMar>
                    <w:left w:w="0" w:type="dxa"/>
                    <w:right w:w="0" w:type="dxa"/>
                  </w:tcMar>
                  <w:vAlign w:val="center"/>
                </w:tcPr>
                <w:p w14:paraId="741326AC">
                  <w:pPr>
                    <w:pStyle w:val="144"/>
                    <w:rPr>
                      <w:color w:val="000000"/>
                    </w:rPr>
                  </w:pPr>
                  <w:r>
                    <w:rPr>
                      <w:color w:val="000000"/>
                    </w:rPr>
                    <w:t>1</w:t>
                  </w:r>
                  <w:r>
                    <w:rPr>
                      <w:rFonts w:hint="eastAsia"/>
                      <w:color w:val="000000"/>
                    </w:rPr>
                    <w:t>次</w:t>
                  </w:r>
                  <w:r>
                    <w:rPr>
                      <w:color w:val="000000"/>
                    </w:rPr>
                    <w:t>/</w:t>
                  </w:r>
                  <w:r>
                    <w:rPr>
                      <w:rFonts w:hint="eastAsia"/>
                      <w:color w:val="000000"/>
                    </w:rPr>
                    <w:t>年</w:t>
                  </w:r>
                </w:p>
              </w:tc>
              <w:tc>
                <w:tcPr>
                  <w:tcW w:w="870" w:type="pct"/>
                  <w:tcMar>
                    <w:left w:w="0" w:type="dxa"/>
                    <w:right w:w="0" w:type="dxa"/>
                  </w:tcMar>
                  <w:vAlign w:val="center"/>
                </w:tcPr>
                <w:p w14:paraId="44316CE0">
                  <w:pPr>
                    <w:pStyle w:val="144"/>
                    <w:rPr>
                      <w:color w:val="000000"/>
                    </w:rPr>
                  </w:pPr>
                  <w:r>
                    <w:rPr>
                      <w:rFonts w:hint="eastAsia"/>
                      <w:color w:val="000000"/>
                    </w:rPr>
                    <w:t>/</w:t>
                  </w:r>
                </w:p>
              </w:tc>
            </w:tr>
            <w:tr w14:paraId="47537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49" w:type="pct"/>
                  <w:tcMar>
                    <w:left w:w="0" w:type="dxa"/>
                    <w:right w:w="0" w:type="dxa"/>
                  </w:tcMar>
                  <w:vAlign w:val="center"/>
                </w:tcPr>
                <w:p w14:paraId="13FE82A5">
                  <w:pPr>
                    <w:pStyle w:val="144"/>
                    <w:rPr>
                      <w:color w:val="000000"/>
                    </w:rPr>
                  </w:pPr>
                  <w:r>
                    <w:rPr>
                      <w:rFonts w:hint="eastAsia"/>
                      <w:color w:val="000000"/>
                    </w:rPr>
                    <w:t>3</w:t>
                  </w:r>
                </w:p>
              </w:tc>
              <w:tc>
                <w:tcPr>
                  <w:tcW w:w="549" w:type="pct"/>
                  <w:tcMar>
                    <w:left w:w="0" w:type="dxa"/>
                    <w:right w:w="0" w:type="dxa"/>
                  </w:tcMar>
                  <w:vAlign w:val="center"/>
                </w:tcPr>
                <w:p w14:paraId="589120EF">
                  <w:pPr>
                    <w:pStyle w:val="144"/>
                    <w:rPr>
                      <w:color w:val="000000"/>
                    </w:rPr>
                  </w:pPr>
                  <w:r>
                    <w:rPr>
                      <w:rFonts w:hint="eastAsia"/>
                      <w:color w:val="000000"/>
                    </w:rPr>
                    <w:t>声环境</w:t>
                  </w:r>
                </w:p>
              </w:tc>
              <w:tc>
                <w:tcPr>
                  <w:tcW w:w="1188" w:type="pct"/>
                  <w:tcMar>
                    <w:left w:w="28" w:type="dxa"/>
                    <w:right w:w="28" w:type="dxa"/>
                  </w:tcMar>
                  <w:vAlign w:val="center"/>
                </w:tcPr>
                <w:p w14:paraId="3C55EA49">
                  <w:pPr>
                    <w:pStyle w:val="144"/>
                    <w:rPr>
                      <w:color w:val="000000"/>
                    </w:rPr>
                  </w:pPr>
                  <w:r>
                    <w:rPr>
                      <w:rFonts w:hint="eastAsia"/>
                      <w:color w:val="000000"/>
                    </w:rPr>
                    <w:t>厂界</w:t>
                  </w:r>
                </w:p>
              </w:tc>
              <w:tc>
                <w:tcPr>
                  <w:tcW w:w="1444" w:type="pct"/>
                  <w:tcMar>
                    <w:left w:w="0" w:type="dxa"/>
                    <w:right w:w="0" w:type="dxa"/>
                  </w:tcMar>
                  <w:vAlign w:val="center"/>
                </w:tcPr>
                <w:p w14:paraId="7B4D8D9B">
                  <w:pPr>
                    <w:pStyle w:val="144"/>
                    <w:rPr>
                      <w:color w:val="000000"/>
                    </w:rPr>
                  </w:pPr>
                  <w:r>
                    <w:rPr>
                      <w:rFonts w:hint="eastAsia"/>
                      <w:color w:val="000000"/>
                    </w:rPr>
                    <w:t>厂界</w:t>
                  </w:r>
                  <w:r>
                    <w:rPr>
                      <w:color w:val="000000"/>
                    </w:rPr>
                    <w:t>Leq</w:t>
                  </w:r>
                </w:p>
              </w:tc>
              <w:tc>
                <w:tcPr>
                  <w:tcW w:w="697" w:type="pct"/>
                  <w:tcMar>
                    <w:left w:w="0" w:type="dxa"/>
                    <w:right w:w="0" w:type="dxa"/>
                  </w:tcMar>
                  <w:vAlign w:val="center"/>
                </w:tcPr>
                <w:p w14:paraId="6310AFE3">
                  <w:pPr>
                    <w:pStyle w:val="144"/>
                    <w:rPr>
                      <w:color w:val="000000"/>
                    </w:rPr>
                  </w:pPr>
                  <w:r>
                    <w:rPr>
                      <w:color w:val="000000"/>
                    </w:rPr>
                    <w:t>1</w:t>
                  </w:r>
                  <w:r>
                    <w:rPr>
                      <w:rFonts w:hint="eastAsia"/>
                      <w:color w:val="000000"/>
                    </w:rPr>
                    <w:t>次</w:t>
                  </w:r>
                  <w:r>
                    <w:rPr>
                      <w:color w:val="000000"/>
                    </w:rPr>
                    <w:t>/</w:t>
                  </w:r>
                  <w:r>
                    <w:rPr>
                      <w:rFonts w:hint="eastAsia"/>
                      <w:color w:val="000000"/>
                    </w:rPr>
                    <w:t>季度</w:t>
                  </w:r>
                </w:p>
              </w:tc>
              <w:tc>
                <w:tcPr>
                  <w:tcW w:w="870" w:type="pct"/>
                  <w:tcMar>
                    <w:left w:w="0" w:type="dxa"/>
                    <w:right w:w="0" w:type="dxa"/>
                  </w:tcMar>
                  <w:vAlign w:val="center"/>
                </w:tcPr>
                <w:p w14:paraId="729F5BB1">
                  <w:pPr>
                    <w:pStyle w:val="144"/>
                    <w:rPr>
                      <w:color w:val="000000"/>
                    </w:rPr>
                  </w:pPr>
                  <w:r>
                    <w:rPr>
                      <w:rFonts w:hint="eastAsia"/>
                      <w:color w:val="000000"/>
                    </w:rPr>
                    <w:t>/</w:t>
                  </w:r>
                </w:p>
              </w:tc>
            </w:tr>
          </w:tbl>
          <w:p w14:paraId="4D330A66">
            <w:pPr>
              <w:ind w:firstLine="0" w:firstLineChars="0"/>
              <w:rPr>
                <w:b/>
                <w:bCs/>
              </w:rPr>
            </w:pPr>
            <w:r>
              <w:rPr>
                <w:rFonts w:hint="eastAsia"/>
                <w:b/>
                <w:bCs/>
              </w:rPr>
              <w:t xml:space="preserve">3、竣工环境保护验收 </w:t>
            </w:r>
          </w:p>
          <w:p w14:paraId="7D9C4A20">
            <w:pPr>
              <w:ind w:firstLine="480"/>
            </w:pPr>
            <w:r>
              <w:rPr>
                <w:rFonts w:hint="eastAsia"/>
              </w:rPr>
              <w:t>根据《建设项目竣工环境保护验收暂行办法》的规定，建设项目竣工后，建设单位应当如实查验、监测、记载建设项目环境保护设施的建设和调试情况，编制验收监测报告表。同时需公开相关信息，接受社会监督，确保建设项目需要配套建设的环境保护设施与主体工程同时投产或者使用，并对验收内容、结论和所公开信息的真实性、准确性和完整性负责，不得在验收过程中弄虚作假。</w:t>
            </w:r>
          </w:p>
          <w:p w14:paraId="70852F72">
            <w:pPr>
              <w:ind w:firstLine="0" w:firstLineChars="0"/>
              <w:jc w:val="left"/>
              <w:rPr>
                <w:b/>
                <w:bCs/>
              </w:rPr>
            </w:pPr>
            <w:r>
              <w:rPr>
                <w:rFonts w:hint="eastAsia"/>
                <w:b/>
                <w:bCs/>
              </w:rPr>
              <w:t>4、环境管理措施</w:t>
            </w:r>
          </w:p>
          <w:p w14:paraId="47CD7345">
            <w:pPr>
              <w:ind w:firstLine="480"/>
            </w:pPr>
            <w:r>
              <w:rPr>
                <w:rFonts w:hint="eastAsia"/>
              </w:rPr>
              <w:t>（1）建立健全环境管理制度</w:t>
            </w:r>
          </w:p>
          <w:p w14:paraId="2B5ACD76">
            <w:pPr>
              <w:ind w:firstLine="480"/>
            </w:pPr>
            <w:r>
              <w:rPr>
                <w:rFonts w:hint="eastAsia"/>
              </w:rPr>
              <w:t>必须做好环保“三同时”工作，加强对职工的安全和环保教育，进行生产过程中环境保护的培训，形成良好的环境保护意识。</w:t>
            </w:r>
          </w:p>
          <w:p w14:paraId="082CE29C">
            <w:pPr>
              <w:ind w:firstLine="480"/>
            </w:pPr>
            <w:r>
              <w:rPr>
                <w:rFonts w:hint="eastAsia"/>
              </w:rPr>
              <w:t>（2）环境管理人员</w:t>
            </w:r>
          </w:p>
          <w:p w14:paraId="5247BAEE">
            <w:pPr>
              <w:ind w:firstLine="480"/>
            </w:pPr>
            <w:r>
              <w:rPr>
                <w:rFonts w:hint="eastAsia"/>
              </w:rPr>
              <w:t>设立专门的环保机构，由厂内专职管理技术人员兼职环保工作，具体负责环保设施的运行、检查、维护等工作。建立健全环境管理制度，改善厂区环境。</w:t>
            </w:r>
          </w:p>
          <w:p w14:paraId="3B7903F8">
            <w:pPr>
              <w:ind w:firstLine="0" w:firstLineChars="0"/>
              <w:rPr>
                <w:b/>
                <w:bCs/>
              </w:rPr>
            </w:pPr>
            <w:r>
              <w:rPr>
                <w:rFonts w:hint="eastAsia"/>
                <w:b/>
                <w:bCs/>
              </w:rPr>
              <w:t>5、排污口规范化管理要求</w:t>
            </w:r>
          </w:p>
          <w:p w14:paraId="53398606">
            <w:pPr>
              <w:ind w:firstLine="480"/>
              <w:jc w:val="left"/>
            </w:pPr>
            <w:r>
              <w:t>项目排污口规范化图标按照《环境保护图形标志—排放口</w:t>
            </w:r>
            <w:r>
              <w:rPr>
                <w:rFonts w:hint="eastAsia"/>
              </w:rPr>
              <w:t>（</w:t>
            </w:r>
            <w:r>
              <w:t>源</w:t>
            </w:r>
            <w:r>
              <w:rPr>
                <w:rFonts w:hint="eastAsia"/>
              </w:rPr>
              <w:t>）</w:t>
            </w:r>
            <w:r>
              <w:t>》</w:t>
            </w:r>
            <w:r>
              <w:rPr>
                <w:rFonts w:hint="eastAsia"/>
              </w:rPr>
              <w:t>（</w:t>
            </w:r>
            <w:r>
              <w:t>GB15563.1-1995</w:t>
            </w:r>
            <w:r>
              <w:rPr>
                <w:rFonts w:hint="eastAsia"/>
              </w:rPr>
              <w:t>）</w:t>
            </w:r>
            <w:r>
              <w:t>要求进行，具体详见表</w:t>
            </w:r>
            <w:r>
              <w:rPr>
                <w:rFonts w:hint="eastAsia"/>
              </w:rPr>
              <w:t>5</w:t>
            </w:r>
            <w:r>
              <w:t>-1。</w:t>
            </w:r>
          </w:p>
          <w:p w14:paraId="6F10D3CC">
            <w:pPr>
              <w:spacing w:before="120" w:beforeLines="50" w:line="240" w:lineRule="auto"/>
              <w:ind w:firstLine="0" w:firstLineChars="0"/>
              <w:jc w:val="center"/>
            </w:pPr>
            <w:r>
              <w:rPr>
                <w:b/>
                <w:kern w:val="0"/>
              </w:rPr>
              <w:t>表</w:t>
            </w:r>
            <w:r>
              <w:rPr>
                <w:rFonts w:hint="eastAsia"/>
                <w:b/>
                <w:kern w:val="0"/>
              </w:rPr>
              <w:t>5</w:t>
            </w:r>
            <w:r>
              <w:rPr>
                <w:b/>
                <w:kern w:val="0"/>
              </w:rPr>
              <w:t>-1  排污口图形符号</w:t>
            </w:r>
            <w:r>
              <w:rPr>
                <w:rFonts w:hint="eastAsia"/>
                <w:b/>
                <w:kern w:val="0"/>
              </w:rPr>
              <w:t>（</w:t>
            </w:r>
            <w:r>
              <w:rPr>
                <w:b/>
                <w:kern w:val="0"/>
              </w:rPr>
              <w:t>提示标志</w:t>
            </w:r>
            <w:r>
              <w:rPr>
                <w:rFonts w:hint="eastAsia"/>
                <w:b/>
                <w:kern w:val="0"/>
              </w:rPr>
              <w:t>）</w:t>
            </w:r>
            <w:r>
              <w:rPr>
                <w:b/>
                <w:kern w:val="0"/>
              </w:rPr>
              <w:t>一览表</w:t>
            </w:r>
          </w:p>
          <w:tbl>
            <w:tblPr>
              <w:tblStyle w:val="30"/>
              <w:tblW w:w="0" w:type="auto"/>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705"/>
              <w:gridCol w:w="1036"/>
              <w:gridCol w:w="1195"/>
              <w:gridCol w:w="1195"/>
              <w:gridCol w:w="1239"/>
              <w:gridCol w:w="1154"/>
            </w:tblGrid>
            <w:tr w14:paraId="5A56DA37">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690" w:hRule="atLeast"/>
                <w:jc w:val="center"/>
              </w:trPr>
              <w:tc>
                <w:tcPr>
                  <w:tcW w:w="1705" w:type="dxa"/>
                  <w:tcBorders>
                    <w:top w:val="single" w:color="auto" w:sz="12" w:space="0"/>
                    <w:left w:val="nil"/>
                    <w:bottom w:val="single" w:color="auto" w:sz="6" w:space="0"/>
                    <w:right w:val="single" w:color="auto" w:sz="6" w:space="0"/>
                    <w:tl2br w:val="single" w:color="auto" w:sz="4" w:space="0"/>
                  </w:tcBorders>
                  <w:vAlign w:val="center"/>
                </w:tcPr>
                <w:p w14:paraId="26C301A4">
                  <w:pPr>
                    <w:snapToGrid w:val="0"/>
                    <w:spacing w:line="340" w:lineRule="exact"/>
                    <w:ind w:firstLine="0" w:firstLineChars="0"/>
                    <w:jc w:val="right"/>
                    <w:rPr>
                      <w:b/>
                      <w:bCs/>
                      <w:sz w:val="21"/>
                      <w:szCs w:val="21"/>
                      <w:lang w:val="en-GB"/>
                    </w:rPr>
                  </w:pPr>
                  <w:r>
                    <w:rPr>
                      <w:b/>
                      <w:bCs/>
                      <w:sz w:val="21"/>
                      <w:szCs w:val="21"/>
                      <w:lang w:val="en-GB"/>
                    </w:rPr>
                    <w:t>排放部位</w:t>
                  </w:r>
                </w:p>
                <w:p w14:paraId="78C99957">
                  <w:pPr>
                    <w:snapToGrid w:val="0"/>
                    <w:spacing w:line="340" w:lineRule="exact"/>
                    <w:ind w:firstLine="0" w:firstLineChars="0"/>
                    <w:jc w:val="left"/>
                    <w:rPr>
                      <w:b/>
                      <w:bCs/>
                      <w:sz w:val="21"/>
                      <w:szCs w:val="21"/>
                      <w:lang w:val="en-GB"/>
                    </w:rPr>
                  </w:pPr>
                  <w:r>
                    <w:rPr>
                      <w:b/>
                      <w:bCs/>
                      <w:sz w:val="21"/>
                      <w:szCs w:val="21"/>
                      <w:lang w:val="en-GB"/>
                    </w:rPr>
                    <w:t>项目</w:t>
                  </w:r>
                </w:p>
              </w:tc>
              <w:tc>
                <w:tcPr>
                  <w:tcW w:w="1036" w:type="dxa"/>
                  <w:tcBorders>
                    <w:top w:val="single" w:color="auto" w:sz="12" w:space="0"/>
                    <w:left w:val="single" w:color="auto" w:sz="6" w:space="0"/>
                    <w:bottom w:val="single" w:color="auto" w:sz="6" w:space="0"/>
                    <w:right w:val="single" w:color="auto" w:sz="6" w:space="0"/>
                  </w:tcBorders>
                  <w:vAlign w:val="center"/>
                </w:tcPr>
                <w:p w14:paraId="0737C2C1">
                  <w:pPr>
                    <w:snapToGrid w:val="0"/>
                    <w:spacing w:line="340" w:lineRule="exact"/>
                    <w:ind w:firstLine="0" w:firstLineChars="0"/>
                    <w:jc w:val="center"/>
                    <w:rPr>
                      <w:b/>
                      <w:bCs/>
                      <w:sz w:val="21"/>
                      <w:szCs w:val="21"/>
                      <w:lang w:val="en-GB"/>
                    </w:rPr>
                  </w:pPr>
                  <w:r>
                    <w:rPr>
                      <w:b/>
                      <w:bCs/>
                      <w:sz w:val="21"/>
                      <w:szCs w:val="21"/>
                      <w:lang w:val="en-GB"/>
                    </w:rPr>
                    <w:t>污水排放口</w:t>
                  </w:r>
                </w:p>
              </w:tc>
              <w:tc>
                <w:tcPr>
                  <w:tcW w:w="1195" w:type="dxa"/>
                  <w:tcBorders>
                    <w:top w:val="single" w:color="auto" w:sz="12" w:space="0"/>
                    <w:left w:val="single" w:color="auto" w:sz="6" w:space="0"/>
                    <w:bottom w:val="single" w:color="auto" w:sz="6" w:space="0"/>
                    <w:right w:val="single" w:color="auto" w:sz="6" w:space="0"/>
                  </w:tcBorders>
                  <w:vAlign w:val="center"/>
                </w:tcPr>
                <w:p w14:paraId="274999FE">
                  <w:pPr>
                    <w:snapToGrid w:val="0"/>
                    <w:spacing w:line="340" w:lineRule="exact"/>
                    <w:ind w:firstLine="0" w:firstLineChars="0"/>
                    <w:jc w:val="center"/>
                    <w:rPr>
                      <w:b/>
                      <w:bCs/>
                      <w:sz w:val="21"/>
                      <w:szCs w:val="21"/>
                      <w:lang w:val="en-GB"/>
                    </w:rPr>
                  </w:pPr>
                  <w:r>
                    <w:rPr>
                      <w:b/>
                      <w:bCs/>
                      <w:sz w:val="21"/>
                      <w:szCs w:val="21"/>
                      <w:lang w:val="en-GB"/>
                    </w:rPr>
                    <w:t>废气排放口</w:t>
                  </w:r>
                </w:p>
              </w:tc>
              <w:tc>
                <w:tcPr>
                  <w:tcW w:w="1195" w:type="dxa"/>
                  <w:tcBorders>
                    <w:top w:val="single" w:color="auto" w:sz="12" w:space="0"/>
                    <w:left w:val="single" w:color="auto" w:sz="6" w:space="0"/>
                    <w:bottom w:val="single" w:color="auto" w:sz="6" w:space="0"/>
                    <w:right w:val="single" w:color="auto" w:sz="6" w:space="0"/>
                  </w:tcBorders>
                  <w:vAlign w:val="center"/>
                </w:tcPr>
                <w:p w14:paraId="7DCF5F3D">
                  <w:pPr>
                    <w:snapToGrid w:val="0"/>
                    <w:spacing w:line="340" w:lineRule="exact"/>
                    <w:ind w:firstLine="0" w:firstLineChars="0"/>
                    <w:jc w:val="center"/>
                    <w:rPr>
                      <w:b/>
                      <w:bCs/>
                      <w:sz w:val="21"/>
                      <w:szCs w:val="21"/>
                      <w:lang w:val="en-GB"/>
                    </w:rPr>
                  </w:pPr>
                  <w:r>
                    <w:rPr>
                      <w:b/>
                      <w:bCs/>
                      <w:sz w:val="21"/>
                      <w:szCs w:val="21"/>
                      <w:lang w:val="en-GB"/>
                    </w:rPr>
                    <w:t>噪声排放源</w:t>
                  </w:r>
                </w:p>
              </w:tc>
              <w:tc>
                <w:tcPr>
                  <w:tcW w:w="1239" w:type="dxa"/>
                  <w:tcBorders>
                    <w:top w:val="single" w:color="auto" w:sz="12" w:space="0"/>
                    <w:left w:val="single" w:color="auto" w:sz="6" w:space="0"/>
                    <w:bottom w:val="single" w:color="auto" w:sz="6" w:space="0"/>
                    <w:right w:val="single" w:color="auto" w:sz="6" w:space="0"/>
                  </w:tcBorders>
                  <w:vAlign w:val="center"/>
                </w:tcPr>
                <w:p w14:paraId="106BFA98">
                  <w:pPr>
                    <w:snapToGrid w:val="0"/>
                    <w:spacing w:line="340" w:lineRule="exact"/>
                    <w:ind w:firstLine="0" w:firstLineChars="0"/>
                    <w:jc w:val="center"/>
                    <w:rPr>
                      <w:b/>
                      <w:bCs/>
                      <w:sz w:val="21"/>
                      <w:szCs w:val="21"/>
                      <w:lang w:val="en-GB"/>
                    </w:rPr>
                  </w:pPr>
                  <w:r>
                    <w:rPr>
                      <w:b/>
                      <w:bCs/>
                      <w:sz w:val="21"/>
                      <w:szCs w:val="21"/>
                      <w:lang w:val="en-GB"/>
                    </w:rPr>
                    <w:t>一般工业固废</w:t>
                  </w:r>
                </w:p>
              </w:tc>
              <w:tc>
                <w:tcPr>
                  <w:tcW w:w="1154" w:type="dxa"/>
                  <w:tcBorders>
                    <w:top w:val="single" w:color="auto" w:sz="12" w:space="0"/>
                    <w:left w:val="single" w:color="auto" w:sz="6" w:space="0"/>
                    <w:bottom w:val="single" w:color="auto" w:sz="6" w:space="0"/>
                    <w:right w:val="nil"/>
                  </w:tcBorders>
                  <w:vAlign w:val="center"/>
                </w:tcPr>
                <w:p w14:paraId="3935229E">
                  <w:pPr>
                    <w:snapToGrid w:val="0"/>
                    <w:spacing w:line="340" w:lineRule="exact"/>
                    <w:ind w:firstLine="0" w:firstLineChars="0"/>
                    <w:jc w:val="center"/>
                    <w:rPr>
                      <w:b/>
                      <w:bCs/>
                      <w:sz w:val="21"/>
                      <w:szCs w:val="21"/>
                      <w:lang w:val="en-GB"/>
                    </w:rPr>
                  </w:pPr>
                  <w:r>
                    <w:rPr>
                      <w:b/>
                      <w:bCs/>
                      <w:sz w:val="21"/>
                      <w:szCs w:val="21"/>
                      <w:lang w:val="en-GB"/>
                    </w:rPr>
                    <w:t>危险废物</w:t>
                  </w:r>
                </w:p>
              </w:tc>
            </w:tr>
            <w:tr w14:paraId="63953FC5">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872" w:hRule="atLeast"/>
                <w:jc w:val="center"/>
              </w:trPr>
              <w:tc>
                <w:tcPr>
                  <w:tcW w:w="1705" w:type="dxa"/>
                  <w:tcBorders>
                    <w:top w:val="single" w:color="auto" w:sz="6" w:space="0"/>
                    <w:left w:val="nil"/>
                    <w:bottom w:val="single" w:color="auto" w:sz="6" w:space="0"/>
                    <w:right w:val="single" w:color="auto" w:sz="6" w:space="0"/>
                  </w:tcBorders>
                  <w:vAlign w:val="center"/>
                </w:tcPr>
                <w:p w14:paraId="6B436C56">
                  <w:pPr>
                    <w:snapToGrid w:val="0"/>
                    <w:spacing w:line="340" w:lineRule="exact"/>
                    <w:ind w:firstLine="0" w:firstLineChars="0"/>
                    <w:jc w:val="center"/>
                    <w:rPr>
                      <w:sz w:val="21"/>
                      <w:szCs w:val="21"/>
                      <w:lang w:val="en-GB"/>
                    </w:rPr>
                  </w:pPr>
                  <w:r>
                    <w:rPr>
                      <w:sz w:val="21"/>
                      <w:szCs w:val="21"/>
                      <w:lang w:val="en-GB"/>
                    </w:rPr>
                    <w:t>图形符号</w:t>
                  </w:r>
                </w:p>
              </w:tc>
              <w:tc>
                <w:tcPr>
                  <w:tcW w:w="1036" w:type="dxa"/>
                  <w:tcBorders>
                    <w:top w:val="single" w:color="auto" w:sz="6" w:space="0"/>
                    <w:left w:val="single" w:color="auto" w:sz="6" w:space="0"/>
                    <w:bottom w:val="single" w:color="auto" w:sz="6" w:space="0"/>
                    <w:right w:val="single" w:color="auto" w:sz="6" w:space="0"/>
                  </w:tcBorders>
                  <w:vAlign w:val="center"/>
                </w:tcPr>
                <w:p w14:paraId="0065C364">
                  <w:pPr>
                    <w:snapToGrid w:val="0"/>
                    <w:spacing w:line="340" w:lineRule="exact"/>
                    <w:ind w:firstLine="0" w:firstLineChars="0"/>
                    <w:jc w:val="center"/>
                    <w:rPr>
                      <w:sz w:val="21"/>
                      <w:szCs w:val="21"/>
                      <w:lang w:val="en-GB"/>
                    </w:rPr>
                  </w:pPr>
                  <w:r>
                    <w:rPr>
                      <w:sz w:val="21"/>
                      <w:szCs w:val="21"/>
                    </w:rPr>
                    <w:drawing>
                      <wp:anchor distT="0" distB="0" distL="114300" distR="114300" simplePos="0" relativeHeight="251662336" behindDoc="0" locked="0" layoutInCell="1" allowOverlap="1">
                        <wp:simplePos x="0" y="0"/>
                        <wp:positionH relativeFrom="column">
                          <wp:posOffset>-27305</wp:posOffset>
                        </wp:positionH>
                        <wp:positionV relativeFrom="paragraph">
                          <wp:posOffset>33655</wp:posOffset>
                        </wp:positionV>
                        <wp:extent cx="591820" cy="591820"/>
                        <wp:effectExtent l="0" t="0" r="0" b="0"/>
                        <wp:wrapNone/>
                        <wp:docPr id="54" name="图片 7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54" descr="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91820" cy="591820"/>
                                </a:xfrm>
                                <a:prstGeom prst="rect">
                                  <a:avLst/>
                                </a:prstGeom>
                                <a:noFill/>
                                <a:ln>
                                  <a:noFill/>
                                </a:ln>
                              </pic:spPr>
                            </pic:pic>
                          </a:graphicData>
                        </a:graphic>
                      </wp:anchor>
                    </w:drawing>
                  </w:r>
                </w:p>
              </w:tc>
              <w:tc>
                <w:tcPr>
                  <w:tcW w:w="1195" w:type="dxa"/>
                  <w:tcBorders>
                    <w:top w:val="single" w:color="auto" w:sz="6" w:space="0"/>
                    <w:left w:val="single" w:color="auto" w:sz="6" w:space="0"/>
                    <w:bottom w:val="single" w:color="auto" w:sz="6" w:space="0"/>
                    <w:right w:val="single" w:color="auto" w:sz="6" w:space="0"/>
                  </w:tcBorders>
                  <w:vAlign w:val="center"/>
                </w:tcPr>
                <w:p w14:paraId="3F252A1C">
                  <w:pPr>
                    <w:spacing w:line="240" w:lineRule="auto"/>
                    <w:ind w:firstLine="0" w:firstLineChars="0"/>
                    <w:jc w:val="center"/>
                    <w:rPr>
                      <w:lang w:val="en-GB"/>
                    </w:rPr>
                  </w:pPr>
                  <w:r>
                    <w:drawing>
                      <wp:inline distT="0" distB="0" distL="0" distR="0">
                        <wp:extent cx="607060" cy="607060"/>
                        <wp:effectExtent l="0" t="0" r="2540" b="2540"/>
                        <wp:docPr id="26" name="图片 2" descr="1639996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1639996266(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607060" cy="607060"/>
                                </a:xfrm>
                                <a:prstGeom prst="rect">
                                  <a:avLst/>
                                </a:prstGeom>
                                <a:noFill/>
                                <a:ln>
                                  <a:noFill/>
                                </a:ln>
                              </pic:spPr>
                            </pic:pic>
                          </a:graphicData>
                        </a:graphic>
                      </wp:inline>
                    </w:drawing>
                  </w:r>
                </w:p>
              </w:tc>
              <w:tc>
                <w:tcPr>
                  <w:tcW w:w="1195" w:type="dxa"/>
                  <w:tcBorders>
                    <w:top w:val="single" w:color="auto" w:sz="6" w:space="0"/>
                    <w:left w:val="single" w:color="auto" w:sz="6" w:space="0"/>
                    <w:bottom w:val="single" w:color="auto" w:sz="6" w:space="0"/>
                    <w:right w:val="single" w:color="auto" w:sz="6" w:space="0"/>
                  </w:tcBorders>
                  <w:vAlign w:val="center"/>
                </w:tcPr>
                <w:p w14:paraId="4B4576AB">
                  <w:pPr>
                    <w:snapToGrid w:val="0"/>
                    <w:spacing w:line="340" w:lineRule="exact"/>
                    <w:ind w:firstLine="0" w:firstLineChars="0"/>
                    <w:jc w:val="center"/>
                    <w:rPr>
                      <w:sz w:val="21"/>
                      <w:szCs w:val="21"/>
                      <w:lang w:val="en-GB"/>
                    </w:rPr>
                  </w:pPr>
                  <w:r>
                    <w:rPr>
                      <w:sz w:val="21"/>
                      <w:szCs w:val="21"/>
                    </w:rPr>
                    <w:drawing>
                      <wp:anchor distT="0" distB="0" distL="114300" distR="114300" simplePos="0" relativeHeight="251659264" behindDoc="0" locked="0" layoutInCell="1" allowOverlap="1">
                        <wp:simplePos x="0" y="0"/>
                        <wp:positionH relativeFrom="column">
                          <wp:posOffset>21590</wp:posOffset>
                        </wp:positionH>
                        <wp:positionV relativeFrom="paragraph">
                          <wp:posOffset>40640</wp:posOffset>
                        </wp:positionV>
                        <wp:extent cx="602615" cy="602615"/>
                        <wp:effectExtent l="0" t="0" r="6985" b="6985"/>
                        <wp:wrapNone/>
                        <wp:docPr id="55" name="图片 756"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56" descr="点击看大图及详细资料"/>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602615" cy="602615"/>
                                </a:xfrm>
                                <a:prstGeom prst="rect">
                                  <a:avLst/>
                                </a:prstGeom>
                                <a:noFill/>
                                <a:ln>
                                  <a:noFill/>
                                </a:ln>
                              </pic:spPr>
                            </pic:pic>
                          </a:graphicData>
                        </a:graphic>
                      </wp:anchor>
                    </w:drawing>
                  </w:r>
                </w:p>
                <w:p w14:paraId="6BDE01C1">
                  <w:pPr>
                    <w:snapToGrid w:val="0"/>
                    <w:spacing w:line="340" w:lineRule="exact"/>
                    <w:ind w:firstLine="0" w:firstLineChars="0"/>
                    <w:jc w:val="center"/>
                    <w:rPr>
                      <w:sz w:val="21"/>
                      <w:szCs w:val="21"/>
                      <w:lang w:val="en-GB"/>
                    </w:rPr>
                  </w:pPr>
                </w:p>
                <w:p w14:paraId="5CBC1D72">
                  <w:pPr>
                    <w:snapToGrid w:val="0"/>
                    <w:spacing w:line="340" w:lineRule="exact"/>
                    <w:ind w:firstLine="0" w:firstLineChars="0"/>
                    <w:jc w:val="center"/>
                    <w:rPr>
                      <w:sz w:val="21"/>
                      <w:szCs w:val="21"/>
                      <w:lang w:val="en-GB"/>
                    </w:rPr>
                  </w:pPr>
                </w:p>
              </w:tc>
              <w:tc>
                <w:tcPr>
                  <w:tcW w:w="1239" w:type="dxa"/>
                  <w:tcBorders>
                    <w:top w:val="single" w:color="auto" w:sz="6" w:space="0"/>
                    <w:left w:val="single" w:color="auto" w:sz="6" w:space="0"/>
                    <w:bottom w:val="single" w:color="auto" w:sz="6" w:space="0"/>
                    <w:right w:val="single" w:color="auto" w:sz="6" w:space="0"/>
                  </w:tcBorders>
                  <w:vAlign w:val="center"/>
                </w:tcPr>
                <w:p w14:paraId="4682941C">
                  <w:pPr>
                    <w:snapToGrid w:val="0"/>
                    <w:spacing w:line="340" w:lineRule="exact"/>
                    <w:ind w:firstLine="0" w:firstLineChars="0"/>
                    <w:jc w:val="center"/>
                    <w:rPr>
                      <w:sz w:val="21"/>
                      <w:szCs w:val="21"/>
                      <w:lang w:val="en-GB"/>
                    </w:rPr>
                  </w:pPr>
                  <w:r>
                    <w:rPr>
                      <w:sz w:val="21"/>
                      <w:szCs w:val="21"/>
                    </w:rPr>
                    <w:drawing>
                      <wp:anchor distT="0" distB="0" distL="114300" distR="114300" simplePos="0" relativeHeight="251660288" behindDoc="0" locked="0" layoutInCell="1" allowOverlap="1">
                        <wp:simplePos x="0" y="0"/>
                        <wp:positionH relativeFrom="column">
                          <wp:posOffset>41910</wp:posOffset>
                        </wp:positionH>
                        <wp:positionV relativeFrom="paragraph">
                          <wp:posOffset>40640</wp:posOffset>
                        </wp:positionV>
                        <wp:extent cx="602615" cy="602615"/>
                        <wp:effectExtent l="0" t="0" r="6985" b="6985"/>
                        <wp:wrapNone/>
                        <wp:docPr id="56" name="图片 757" descr="一般固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57" descr="一般固废"/>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602615" cy="602615"/>
                                </a:xfrm>
                                <a:prstGeom prst="rect">
                                  <a:avLst/>
                                </a:prstGeom>
                                <a:noFill/>
                                <a:ln>
                                  <a:noFill/>
                                </a:ln>
                              </pic:spPr>
                            </pic:pic>
                          </a:graphicData>
                        </a:graphic>
                      </wp:anchor>
                    </w:drawing>
                  </w:r>
                </w:p>
              </w:tc>
              <w:tc>
                <w:tcPr>
                  <w:tcW w:w="1154" w:type="dxa"/>
                  <w:tcBorders>
                    <w:top w:val="single" w:color="auto" w:sz="6" w:space="0"/>
                    <w:left w:val="single" w:color="auto" w:sz="6" w:space="0"/>
                    <w:bottom w:val="single" w:color="auto" w:sz="6" w:space="0"/>
                    <w:right w:val="nil"/>
                  </w:tcBorders>
                  <w:vAlign w:val="center"/>
                </w:tcPr>
                <w:p w14:paraId="1BDBC203">
                  <w:pPr>
                    <w:snapToGrid w:val="0"/>
                    <w:spacing w:line="340" w:lineRule="exact"/>
                    <w:ind w:firstLine="0" w:firstLineChars="0"/>
                    <w:jc w:val="center"/>
                    <w:rPr>
                      <w:sz w:val="21"/>
                      <w:szCs w:val="21"/>
                      <w:lang w:val="en-GB"/>
                    </w:rPr>
                  </w:pPr>
                  <w:r>
                    <w:rPr>
                      <w:sz w:val="21"/>
                      <w:szCs w:val="21"/>
                    </w:rPr>
                    <w:drawing>
                      <wp:anchor distT="0" distB="0" distL="114300" distR="114300" simplePos="0" relativeHeight="251661312" behindDoc="0" locked="0" layoutInCell="1" allowOverlap="1">
                        <wp:simplePos x="0" y="0"/>
                        <wp:positionH relativeFrom="column">
                          <wp:posOffset>-635</wp:posOffset>
                        </wp:positionH>
                        <wp:positionV relativeFrom="paragraph">
                          <wp:posOffset>23495</wp:posOffset>
                        </wp:positionV>
                        <wp:extent cx="605790" cy="612775"/>
                        <wp:effectExtent l="0" t="0" r="3810" b="0"/>
                        <wp:wrapNone/>
                        <wp:docPr id="57" name="图片 334" descr="168619052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34" descr="168619052678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605790" cy="612775"/>
                                </a:xfrm>
                                <a:prstGeom prst="rect">
                                  <a:avLst/>
                                </a:prstGeom>
                                <a:noFill/>
                                <a:ln>
                                  <a:noFill/>
                                </a:ln>
                              </pic:spPr>
                            </pic:pic>
                          </a:graphicData>
                        </a:graphic>
                      </wp:anchor>
                    </w:drawing>
                  </w:r>
                </w:p>
              </w:tc>
            </w:tr>
            <w:tr w14:paraId="11C92C58">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705" w:type="dxa"/>
                  <w:tcBorders>
                    <w:top w:val="single" w:color="auto" w:sz="6" w:space="0"/>
                    <w:left w:val="nil"/>
                    <w:bottom w:val="single" w:color="auto" w:sz="6" w:space="0"/>
                    <w:right w:val="single" w:color="auto" w:sz="6" w:space="0"/>
                  </w:tcBorders>
                  <w:vAlign w:val="center"/>
                </w:tcPr>
                <w:p w14:paraId="02EC1301">
                  <w:pPr>
                    <w:snapToGrid w:val="0"/>
                    <w:spacing w:line="340" w:lineRule="exact"/>
                    <w:ind w:firstLine="0" w:firstLineChars="0"/>
                    <w:jc w:val="center"/>
                    <w:rPr>
                      <w:sz w:val="21"/>
                      <w:szCs w:val="21"/>
                      <w:lang w:val="en-GB"/>
                    </w:rPr>
                  </w:pPr>
                  <w:r>
                    <w:rPr>
                      <w:sz w:val="21"/>
                      <w:szCs w:val="21"/>
                      <w:lang w:val="en-GB"/>
                    </w:rPr>
                    <w:t>形状</w:t>
                  </w:r>
                </w:p>
              </w:tc>
              <w:tc>
                <w:tcPr>
                  <w:tcW w:w="1036" w:type="dxa"/>
                  <w:tcBorders>
                    <w:top w:val="single" w:color="auto" w:sz="6" w:space="0"/>
                    <w:left w:val="single" w:color="auto" w:sz="6" w:space="0"/>
                    <w:bottom w:val="single" w:color="auto" w:sz="6" w:space="0"/>
                    <w:right w:val="single" w:color="auto" w:sz="6" w:space="0"/>
                  </w:tcBorders>
                  <w:vAlign w:val="center"/>
                </w:tcPr>
                <w:p w14:paraId="3A0C5865">
                  <w:pPr>
                    <w:snapToGrid w:val="0"/>
                    <w:spacing w:line="340" w:lineRule="exact"/>
                    <w:ind w:firstLine="0" w:firstLineChars="0"/>
                    <w:jc w:val="center"/>
                    <w:rPr>
                      <w:sz w:val="21"/>
                      <w:szCs w:val="21"/>
                      <w:lang w:val="en-GB"/>
                    </w:rPr>
                  </w:pPr>
                  <w:r>
                    <w:rPr>
                      <w:sz w:val="21"/>
                      <w:szCs w:val="21"/>
                      <w:lang w:val="en-GB"/>
                    </w:rPr>
                    <w:t>正方形边框</w:t>
                  </w:r>
                </w:p>
              </w:tc>
              <w:tc>
                <w:tcPr>
                  <w:tcW w:w="1195" w:type="dxa"/>
                  <w:tcBorders>
                    <w:top w:val="single" w:color="auto" w:sz="6" w:space="0"/>
                    <w:left w:val="single" w:color="auto" w:sz="6" w:space="0"/>
                    <w:bottom w:val="single" w:color="auto" w:sz="6" w:space="0"/>
                    <w:right w:val="single" w:color="auto" w:sz="6" w:space="0"/>
                  </w:tcBorders>
                  <w:vAlign w:val="center"/>
                </w:tcPr>
                <w:p w14:paraId="636D5797">
                  <w:pPr>
                    <w:snapToGrid w:val="0"/>
                    <w:spacing w:line="340" w:lineRule="exact"/>
                    <w:ind w:firstLine="0" w:firstLineChars="0"/>
                    <w:jc w:val="center"/>
                    <w:rPr>
                      <w:sz w:val="21"/>
                      <w:szCs w:val="21"/>
                      <w:lang w:val="en-GB"/>
                    </w:rPr>
                  </w:pPr>
                  <w:r>
                    <w:rPr>
                      <w:sz w:val="21"/>
                      <w:szCs w:val="21"/>
                      <w:lang w:val="en-GB"/>
                    </w:rPr>
                    <w:t>正方形</w:t>
                  </w:r>
                </w:p>
                <w:p w14:paraId="7590DFA2">
                  <w:pPr>
                    <w:snapToGrid w:val="0"/>
                    <w:spacing w:line="340" w:lineRule="exact"/>
                    <w:ind w:firstLine="0" w:firstLineChars="0"/>
                    <w:jc w:val="center"/>
                    <w:rPr>
                      <w:sz w:val="21"/>
                      <w:szCs w:val="21"/>
                      <w:lang w:val="en-GB"/>
                    </w:rPr>
                  </w:pPr>
                  <w:r>
                    <w:rPr>
                      <w:sz w:val="21"/>
                      <w:szCs w:val="21"/>
                      <w:lang w:val="en-GB"/>
                    </w:rPr>
                    <w:t>边框</w:t>
                  </w:r>
                </w:p>
              </w:tc>
              <w:tc>
                <w:tcPr>
                  <w:tcW w:w="1195" w:type="dxa"/>
                  <w:tcBorders>
                    <w:top w:val="single" w:color="auto" w:sz="6" w:space="0"/>
                    <w:left w:val="single" w:color="auto" w:sz="6" w:space="0"/>
                    <w:bottom w:val="single" w:color="auto" w:sz="6" w:space="0"/>
                    <w:right w:val="single" w:color="auto" w:sz="6" w:space="0"/>
                  </w:tcBorders>
                  <w:vAlign w:val="center"/>
                </w:tcPr>
                <w:p w14:paraId="46564C15">
                  <w:pPr>
                    <w:snapToGrid w:val="0"/>
                    <w:spacing w:line="340" w:lineRule="exact"/>
                    <w:ind w:firstLine="0" w:firstLineChars="0"/>
                    <w:jc w:val="center"/>
                    <w:rPr>
                      <w:sz w:val="21"/>
                      <w:szCs w:val="21"/>
                      <w:lang w:val="en-GB"/>
                    </w:rPr>
                  </w:pPr>
                  <w:r>
                    <w:rPr>
                      <w:sz w:val="21"/>
                      <w:szCs w:val="21"/>
                      <w:lang w:val="en-GB"/>
                    </w:rPr>
                    <w:t>正方形</w:t>
                  </w:r>
                </w:p>
                <w:p w14:paraId="54F77F0E">
                  <w:pPr>
                    <w:snapToGrid w:val="0"/>
                    <w:spacing w:line="340" w:lineRule="exact"/>
                    <w:ind w:firstLine="0" w:firstLineChars="0"/>
                    <w:jc w:val="center"/>
                    <w:rPr>
                      <w:sz w:val="21"/>
                      <w:szCs w:val="21"/>
                      <w:lang w:val="en-GB"/>
                    </w:rPr>
                  </w:pPr>
                  <w:r>
                    <w:rPr>
                      <w:sz w:val="21"/>
                      <w:szCs w:val="21"/>
                      <w:lang w:val="en-GB"/>
                    </w:rPr>
                    <w:t>边框</w:t>
                  </w:r>
                </w:p>
              </w:tc>
              <w:tc>
                <w:tcPr>
                  <w:tcW w:w="1239" w:type="dxa"/>
                  <w:tcBorders>
                    <w:top w:val="single" w:color="auto" w:sz="6" w:space="0"/>
                    <w:left w:val="single" w:color="auto" w:sz="6" w:space="0"/>
                    <w:bottom w:val="single" w:color="auto" w:sz="6" w:space="0"/>
                    <w:right w:val="single" w:color="auto" w:sz="6" w:space="0"/>
                  </w:tcBorders>
                  <w:vAlign w:val="center"/>
                </w:tcPr>
                <w:p w14:paraId="0A27FC7E">
                  <w:pPr>
                    <w:snapToGrid w:val="0"/>
                    <w:spacing w:line="340" w:lineRule="exact"/>
                    <w:ind w:firstLine="0" w:firstLineChars="0"/>
                    <w:jc w:val="center"/>
                    <w:rPr>
                      <w:sz w:val="21"/>
                      <w:szCs w:val="21"/>
                      <w:lang w:val="en-GB"/>
                    </w:rPr>
                  </w:pPr>
                  <w:r>
                    <w:rPr>
                      <w:sz w:val="21"/>
                      <w:szCs w:val="21"/>
                      <w:lang w:val="en-GB"/>
                    </w:rPr>
                    <w:t>三角形</w:t>
                  </w:r>
                </w:p>
                <w:p w14:paraId="3FD86AC4">
                  <w:pPr>
                    <w:snapToGrid w:val="0"/>
                    <w:spacing w:line="340" w:lineRule="exact"/>
                    <w:ind w:firstLine="0" w:firstLineChars="0"/>
                    <w:jc w:val="center"/>
                    <w:rPr>
                      <w:sz w:val="21"/>
                      <w:szCs w:val="21"/>
                      <w:lang w:val="en-GB"/>
                    </w:rPr>
                  </w:pPr>
                  <w:r>
                    <w:rPr>
                      <w:sz w:val="21"/>
                      <w:szCs w:val="21"/>
                      <w:lang w:val="en-GB"/>
                    </w:rPr>
                    <w:t>边框</w:t>
                  </w:r>
                </w:p>
              </w:tc>
              <w:tc>
                <w:tcPr>
                  <w:tcW w:w="1154" w:type="dxa"/>
                  <w:tcBorders>
                    <w:top w:val="single" w:color="auto" w:sz="6" w:space="0"/>
                    <w:left w:val="single" w:color="auto" w:sz="6" w:space="0"/>
                    <w:bottom w:val="single" w:color="auto" w:sz="6" w:space="0"/>
                    <w:right w:val="nil"/>
                  </w:tcBorders>
                  <w:vAlign w:val="center"/>
                </w:tcPr>
                <w:p w14:paraId="4AB58564">
                  <w:pPr>
                    <w:snapToGrid w:val="0"/>
                    <w:spacing w:line="340" w:lineRule="exact"/>
                    <w:ind w:firstLine="0" w:firstLineChars="0"/>
                    <w:jc w:val="center"/>
                    <w:rPr>
                      <w:sz w:val="21"/>
                      <w:szCs w:val="21"/>
                      <w:lang w:val="en-GB"/>
                    </w:rPr>
                  </w:pPr>
                  <w:r>
                    <w:rPr>
                      <w:sz w:val="21"/>
                      <w:szCs w:val="21"/>
                      <w:lang w:val="en-GB"/>
                    </w:rPr>
                    <w:t>三角形</w:t>
                  </w:r>
                </w:p>
                <w:p w14:paraId="5B035312">
                  <w:pPr>
                    <w:snapToGrid w:val="0"/>
                    <w:spacing w:line="340" w:lineRule="exact"/>
                    <w:ind w:firstLine="0" w:firstLineChars="0"/>
                    <w:jc w:val="center"/>
                    <w:rPr>
                      <w:sz w:val="21"/>
                      <w:szCs w:val="21"/>
                      <w:lang w:val="en-GB"/>
                    </w:rPr>
                  </w:pPr>
                  <w:r>
                    <w:rPr>
                      <w:sz w:val="21"/>
                      <w:szCs w:val="21"/>
                      <w:lang w:val="en-GB"/>
                    </w:rPr>
                    <w:t>边框</w:t>
                  </w:r>
                </w:p>
              </w:tc>
            </w:tr>
            <w:tr w14:paraId="758DCDE3">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705" w:type="dxa"/>
                  <w:tcBorders>
                    <w:top w:val="single" w:color="auto" w:sz="6" w:space="0"/>
                    <w:left w:val="nil"/>
                    <w:bottom w:val="single" w:color="auto" w:sz="6" w:space="0"/>
                    <w:right w:val="single" w:color="auto" w:sz="6" w:space="0"/>
                  </w:tcBorders>
                  <w:vAlign w:val="center"/>
                </w:tcPr>
                <w:p w14:paraId="6EFDD696">
                  <w:pPr>
                    <w:snapToGrid w:val="0"/>
                    <w:spacing w:line="340" w:lineRule="exact"/>
                    <w:ind w:firstLine="0" w:firstLineChars="0"/>
                    <w:jc w:val="center"/>
                    <w:rPr>
                      <w:sz w:val="21"/>
                      <w:szCs w:val="21"/>
                      <w:lang w:val="en-GB"/>
                    </w:rPr>
                  </w:pPr>
                  <w:r>
                    <w:rPr>
                      <w:sz w:val="21"/>
                      <w:szCs w:val="21"/>
                      <w:lang w:val="en-GB"/>
                    </w:rPr>
                    <w:t>背景颜色</w:t>
                  </w:r>
                </w:p>
              </w:tc>
              <w:tc>
                <w:tcPr>
                  <w:tcW w:w="1036" w:type="dxa"/>
                  <w:tcBorders>
                    <w:top w:val="single" w:color="auto" w:sz="6" w:space="0"/>
                    <w:left w:val="single" w:color="auto" w:sz="6" w:space="0"/>
                    <w:bottom w:val="single" w:color="auto" w:sz="6" w:space="0"/>
                    <w:right w:val="single" w:color="auto" w:sz="6" w:space="0"/>
                  </w:tcBorders>
                  <w:vAlign w:val="center"/>
                </w:tcPr>
                <w:p w14:paraId="5F88F4E2">
                  <w:pPr>
                    <w:snapToGrid w:val="0"/>
                    <w:spacing w:line="340" w:lineRule="exact"/>
                    <w:ind w:firstLine="0" w:firstLineChars="0"/>
                    <w:jc w:val="center"/>
                    <w:rPr>
                      <w:sz w:val="21"/>
                      <w:szCs w:val="21"/>
                      <w:lang w:val="en-GB"/>
                    </w:rPr>
                  </w:pPr>
                  <w:r>
                    <w:rPr>
                      <w:sz w:val="21"/>
                      <w:szCs w:val="21"/>
                      <w:lang w:val="en-GB"/>
                    </w:rPr>
                    <w:t>绿色</w:t>
                  </w:r>
                </w:p>
              </w:tc>
              <w:tc>
                <w:tcPr>
                  <w:tcW w:w="1195" w:type="dxa"/>
                  <w:tcBorders>
                    <w:top w:val="single" w:color="auto" w:sz="6" w:space="0"/>
                    <w:left w:val="single" w:color="auto" w:sz="6" w:space="0"/>
                    <w:bottom w:val="single" w:color="auto" w:sz="6" w:space="0"/>
                    <w:right w:val="single" w:color="auto" w:sz="6" w:space="0"/>
                  </w:tcBorders>
                  <w:vAlign w:val="center"/>
                </w:tcPr>
                <w:p w14:paraId="58B9773B">
                  <w:pPr>
                    <w:snapToGrid w:val="0"/>
                    <w:spacing w:line="340" w:lineRule="exact"/>
                    <w:ind w:firstLine="0" w:firstLineChars="0"/>
                    <w:jc w:val="center"/>
                    <w:rPr>
                      <w:sz w:val="21"/>
                      <w:szCs w:val="21"/>
                      <w:lang w:val="en-GB"/>
                    </w:rPr>
                  </w:pPr>
                  <w:r>
                    <w:rPr>
                      <w:sz w:val="21"/>
                      <w:szCs w:val="21"/>
                      <w:lang w:val="en-GB"/>
                    </w:rPr>
                    <w:t>绿色</w:t>
                  </w:r>
                </w:p>
              </w:tc>
              <w:tc>
                <w:tcPr>
                  <w:tcW w:w="1195" w:type="dxa"/>
                  <w:tcBorders>
                    <w:top w:val="single" w:color="auto" w:sz="6" w:space="0"/>
                    <w:left w:val="single" w:color="auto" w:sz="6" w:space="0"/>
                    <w:bottom w:val="single" w:color="auto" w:sz="6" w:space="0"/>
                    <w:right w:val="single" w:color="auto" w:sz="6" w:space="0"/>
                  </w:tcBorders>
                  <w:vAlign w:val="center"/>
                </w:tcPr>
                <w:p w14:paraId="3A04A977">
                  <w:pPr>
                    <w:snapToGrid w:val="0"/>
                    <w:spacing w:line="340" w:lineRule="exact"/>
                    <w:ind w:firstLine="0" w:firstLineChars="0"/>
                    <w:jc w:val="center"/>
                    <w:rPr>
                      <w:sz w:val="21"/>
                      <w:szCs w:val="21"/>
                      <w:lang w:val="en-GB"/>
                    </w:rPr>
                  </w:pPr>
                  <w:r>
                    <w:rPr>
                      <w:sz w:val="21"/>
                      <w:szCs w:val="21"/>
                      <w:lang w:val="en-GB"/>
                    </w:rPr>
                    <w:t>绿色</w:t>
                  </w:r>
                </w:p>
              </w:tc>
              <w:tc>
                <w:tcPr>
                  <w:tcW w:w="1239" w:type="dxa"/>
                  <w:tcBorders>
                    <w:top w:val="single" w:color="auto" w:sz="6" w:space="0"/>
                    <w:left w:val="single" w:color="auto" w:sz="6" w:space="0"/>
                    <w:bottom w:val="single" w:color="auto" w:sz="6" w:space="0"/>
                    <w:right w:val="single" w:color="auto" w:sz="6" w:space="0"/>
                  </w:tcBorders>
                  <w:vAlign w:val="center"/>
                </w:tcPr>
                <w:p w14:paraId="1F2A890E">
                  <w:pPr>
                    <w:snapToGrid w:val="0"/>
                    <w:spacing w:line="340" w:lineRule="exact"/>
                    <w:ind w:firstLine="0" w:firstLineChars="0"/>
                    <w:jc w:val="center"/>
                    <w:rPr>
                      <w:sz w:val="21"/>
                      <w:szCs w:val="21"/>
                      <w:lang w:val="en-GB"/>
                    </w:rPr>
                  </w:pPr>
                  <w:r>
                    <w:rPr>
                      <w:sz w:val="21"/>
                      <w:szCs w:val="21"/>
                      <w:lang w:val="en-GB"/>
                    </w:rPr>
                    <w:t>黄色</w:t>
                  </w:r>
                </w:p>
              </w:tc>
              <w:tc>
                <w:tcPr>
                  <w:tcW w:w="1154" w:type="dxa"/>
                  <w:tcBorders>
                    <w:top w:val="single" w:color="auto" w:sz="6" w:space="0"/>
                    <w:left w:val="single" w:color="auto" w:sz="6" w:space="0"/>
                    <w:bottom w:val="single" w:color="auto" w:sz="6" w:space="0"/>
                    <w:right w:val="nil"/>
                  </w:tcBorders>
                  <w:vAlign w:val="center"/>
                </w:tcPr>
                <w:p w14:paraId="54A7FC18">
                  <w:pPr>
                    <w:snapToGrid w:val="0"/>
                    <w:spacing w:line="340" w:lineRule="exact"/>
                    <w:ind w:firstLine="0" w:firstLineChars="0"/>
                    <w:jc w:val="center"/>
                    <w:rPr>
                      <w:sz w:val="21"/>
                      <w:szCs w:val="21"/>
                      <w:lang w:val="en-GB"/>
                    </w:rPr>
                  </w:pPr>
                  <w:r>
                    <w:rPr>
                      <w:sz w:val="21"/>
                      <w:szCs w:val="21"/>
                      <w:lang w:val="en-GB"/>
                    </w:rPr>
                    <w:t>黄色</w:t>
                  </w:r>
                </w:p>
              </w:tc>
            </w:tr>
            <w:tr w14:paraId="39D47237">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705" w:type="dxa"/>
                  <w:tcBorders>
                    <w:top w:val="single" w:color="auto" w:sz="6" w:space="0"/>
                    <w:left w:val="nil"/>
                    <w:bottom w:val="single" w:color="auto" w:sz="12" w:space="0"/>
                    <w:right w:val="single" w:color="auto" w:sz="6" w:space="0"/>
                  </w:tcBorders>
                  <w:vAlign w:val="center"/>
                </w:tcPr>
                <w:p w14:paraId="06822BC1">
                  <w:pPr>
                    <w:snapToGrid w:val="0"/>
                    <w:spacing w:line="340" w:lineRule="exact"/>
                    <w:ind w:firstLine="0" w:firstLineChars="0"/>
                    <w:jc w:val="center"/>
                    <w:rPr>
                      <w:sz w:val="21"/>
                      <w:szCs w:val="21"/>
                      <w:lang w:val="en-GB"/>
                    </w:rPr>
                  </w:pPr>
                  <w:r>
                    <w:rPr>
                      <w:sz w:val="21"/>
                      <w:szCs w:val="21"/>
                      <w:lang w:val="en-GB"/>
                    </w:rPr>
                    <w:t>图形颜色</w:t>
                  </w:r>
                </w:p>
              </w:tc>
              <w:tc>
                <w:tcPr>
                  <w:tcW w:w="1036" w:type="dxa"/>
                  <w:tcBorders>
                    <w:top w:val="single" w:color="auto" w:sz="6" w:space="0"/>
                    <w:left w:val="single" w:color="auto" w:sz="6" w:space="0"/>
                    <w:bottom w:val="single" w:color="auto" w:sz="12" w:space="0"/>
                    <w:right w:val="single" w:color="auto" w:sz="6" w:space="0"/>
                  </w:tcBorders>
                  <w:vAlign w:val="center"/>
                </w:tcPr>
                <w:p w14:paraId="25BE1BBB">
                  <w:pPr>
                    <w:snapToGrid w:val="0"/>
                    <w:spacing w:line="340" w:lineRule="exact"/>
                    <w:ind w:firstLine="0" w:firstLineChars="0"/>
                    <w:jc w:val="center"/>
                    <w:rPr>
                      <w:sz w:val="21"/>
                      <w:szCs w:val="21"/>
                      <w:lang w:val="en-GB"/>
                    </w:rPr>
                  </w:pPr>
                  <w:r>
                    <w:rPr>
                      <w:sz w:val="21"/>
                      <w:szCs w:val="21"/>
                      <w:lang w:val="en-GB"/>
                    </w:rPr>
                    <w:t>白色</w:t>
                  </w:r>
                </w:p>
              </w:tc>
              <w:tc>
                <w:tcPr>
                  <w:tcW w:w="1195" w:type="dxa"/>
                  <w:tcBorders>
                    <w:top w:val="single" w:color="auto" w:sz="6" w:space="0"/>
                    <w:left w:val="single" w:color="auto" w:sz="6" w:space="0"/>
                    <w:bottom w:val="single" w:color="auto" w:sz="12" w:space="0"/>
                    <w:right w:val="single" w:color="auto" w:sz="6" w:space="0"/>
                  </w:tcBorders>
                  <w:vAlign w:val="center"/>
                </w:tcPr>
                <w:p w14:paraId="01803C12">
                  <w:pPr>
                    <w:snapToGrid w:val="0"/>
                    <w:spacing w:line="340" w:lineRule="exact"/>
                    <w:ind w:firstLine="0" w:firstLineChars="0"/>
                    <w:jc w:val="center"/>
                    <w:rPr>
                      <w:sz w:val="21"/>
                      <w:szCs w:val="21"/>
                      <w:lang w:val="en-GB"/>
                    </w:rPr>
                  </w:pPr>
                  <w:r>
                    <w:rPr>
                      <w:sz w:val="21"/>
                      <w:szCs w:val="21"/>
                      <w:lang w:val="en-GB"/>
                    </w:rPr>
                    <w:t>白色</w:t>
                  </w:r>
                </w:p>
              </w:tc>
              <w:tc>
                <w:tcPr>
                  <w:tcW w:w="1195" w:type="dxa"/>
                  <w:tcBorders>
                    <w:top w:val="single" w:color="auto" w:sz="6" w:space="0"/>
                    <w:left w:val="single" w:color="auto" w:sz="6" w:space="0"/>
                    <w:bottom w:val="single" w:color="auto" w:sz="12" w:space="0"/>
                    <w:right w:val="single" w:color="auto" w:sz="6" w:space="0"/>
                  </w:tcBorders>
                  <w:vAlign w:val="center"/>
                </w:tcPr>
                <w:p w14:paraId="0777E902">
                  <w:pPr>
                    <w:snapToGrid w:val="0"/>
                    <w:spacing w:line="340" w:lineRule="exact"/>
                    <w:ind w:firstLine="0" w:firstLineChars="0"/>
                    <w:jc w:val="center"/>
                    <w:rPr>
                      <w:sz w:val="21"/>
                      <w:szCs w:val="21"/>
                      <w:lang w:val="en-GB"/>
                    </w:rPr>
                  </w:pPr>
                  <w:r>
                    <w:rPr>
                      <w:sz w:val="21"/>
                      <w:szCs w:val="21"/>
                      <w:lang w:val="en-GB"/>
                    </w:rPr>
                    <w:t>白色</w:t>
                  </w:r>
                </w:p>
              </w:tc>
              <w:tc>
                <w:tcPr>
                  <w:tcW w:w="1239" w:type="dxa"/>
                  <w:tcBorders>
                    <w:top w:val="single" w:color="auto" w:sz="6" w:space="0"/>
                    <w:left w:val="single" w:color="auto" w:sz="6" w:space="0"/>
                    <w:bottom w:val="single" w:color="auto" w:sz="12" w:space="0"/>
                    <w:right w:val="single" w:color="auto" w:sz="6" w:space="0"/>
                  </w:tcBorders>
                  <w:vAlign w:val="center"/>
                </w:tcPr>
                <w:p w14:paraId="1DA0EFD8">
                  <w:pPr>
                    <w:snapToGrid w:val="0"/>
                    <w:spacing w:line="340" w:lineRule="exact"/>
                    <w:ind w:firstLine="0" w:firstLineChars="0"/>
                    <w:jc w:val="center"/>
                    <w:rPr>
                      <w:sz w:val="21"/>
                      <w:szCs w:val="21"/>
                      <w:lang w:val="en-GB"/>
                    </w:rPr>
                  </w:pPr>
                  <w:r>
                    <w:rPr>
                      <w:sz w:val="21"/>
                      <w:szCs w:val="21"/>
                      <w:lang w:val="en-GB"/>
                    </w:rPr>
                    <w:t>黑色</w:t>
                  </w:r>
                </w:p>
              </w:tc>
              <w:tc>
                <w:tcPr>
                  <w:tcW w:w="1154" w:type="dxa"/>
                  <w:tcBorders>
                    <w:top w:val="single" w:color="auto" w:sz="6" w:space="0"/>
                    <w:left w:val="single" w:color="auto" w:sz="6" w:space="0"/>
                    <w:bottom w:val="single" w:color="auto" w:sz="12" w:space="0"/>
                    <w:right w:val="nil"/>
                  </w:tcBorders>
                  <w:vAlign w:val="center"/>
                </w:tcPr>
                <w:p w14:paraId="2EF6282A">
                  <w:pPr>
                    <w:snapToGrid w:val="0"/>
                    <w:spacing w:line="340" w:lineRule="exact"/>
                    <w:ind w:firstLine="0" w:firstLineChars="0"/>
                    <w:jc w:val="center"/>
                    <w:rPr>
                      <w:sz w:val="21"/>
                      <w:szCs w:val="21"/>
                      <w:lang w:val="en-GB"/>
                    </w:rPr>
                  </w:pPr>
                  <w:r>
                    <w:rPr>
                      <w:sz w:val="21"/>
                      <w:szCs w:val="21"/>
                      <w:lang w:val="en-GB"/>
                    </w:rPr>
                    <w:t>黑色</w:t>
                  </w:r>
                </w:p>
              </w:tc>
            </w:tr>
          </w:tbl>
          <w:p w14:paraId="224207F5">
            <w:pPr>
              <w:adjustRightInd w:val="0"/>
              <w:snapToGrid w:val="0"/>
              <w:spacing w:before="120" w:beforeLines="50"/>
              <w:ind w:firstLine="0" w:firstLineChars="0"/>
              <w:jc w:val="left"/>
              <w:rPr>
                <w:b/>
                <w:bCs/>
              </w:rPr>
            </w:pPr>
            <w:bookmarkStart w:id="25" w:name="_Toc492278677"/>
            <w:bookmarkStart w:id="26" w:name="_Toc490031280"/>
            <w:r>
              <w:rPr>
                <w:rFonts w:hint="eastAsia"/>
                <w:b/>
                <w:bCs/>
              </w:rPr>
              <w:t>6、</w:t>
            </w:r>
            <w:r>
              <w:rPr>
                <w:b/>
                <w:bCs/>
              </w:rPr>
              <w:t>环保信息公开要求</w:t>
            </w:r>
            <w:bookmarkEnd w:id="25"/>
            <w:bookmarkEnd w:id="26"/>
          </w:p>
          <w:p w14:paraId="75B1FFEF">
            <w:pPr>
              <w:adjustRightInd w:val="0"/>
              <w:snapToGrid w:val="0"/>
              <w:ind w:firstLine="480"/>
            </w:pPr>
            <w:r>
              <w:t>根据《企业事业单位环境信息公开办法》</w:t>
            </w:r>
            <w:r>
              <w:rPr>
                <w:rFonts w:hint="eastAsia"/>
              </w:rPr>
              <w:t>（</w:t>
            </w:r>
            <w:r>
              <w:t>环境保护部令第31号</w:t>
            </w:r>
            <w:r>
              <w:rPr>
                <w:rFonts w:hint="eastAsia"/>
              </w:rPr>
              <w:t>）</w:t>
            </w:r>
            <w:r>
              <w:t>，企业事业单位应当按照强制公开和自愿公开相结合的原则，及时、如实地公开其环境信息。企业事业单位应当建立健全本单位环境信息公开制度，指定机构负责本单位环境信息公开日常工作，排污单位应当公开以下信息：</w:t>
            </w:r>
          </w:p>
          <w:p w14:paraId="0C627C28">
            <w:pPr>
              <w:adjustRightInd w:val="0"/>
              <w:snapToGrid w:val="0"/>
              <w:ind w:firstLine="480"/>
            </w:pPr>
            <w:r>
              <w:t>（一）基础信息，包括单位名称、统一社会信用代码、法定代表人、生产地址、联系方式，以及生产经营和管理服务的主要内容、产品及规模；</w:t>
            </w:r>
          </w:p>
          <w:p w14:paraId="2349CD1F">
            <w:pPr>
              <w:adjustRightInd w:val="0"/>
              <w:snapToGrid w:val="0"/>
              <w:ind w:firstLine="480"/>
            </w:pPr>
            <w:r>
              <w:t>（二）排污信息，包括主要污染物及特征污染物的名称、排放方式、排放口数量和分布情况、排放浓度和总量、超标情况，以及执行的污染物排放标准、核定的排放总量；</w:t>
            </w:r>
          </w:p>
          <w:p w14:paraId="38E49D41">
            <w:pPr>
              <w:adjustRightInd w:val="0"/>
              <w:snapToGrid w:val="0"/>
              <w:ind w:firstLine="480"/>
            </w:pPr>
            <w:r>
              <w:t>（三）防治污染设施的建设和运行情况；</w:t>
            </w:r>
          </w:p>
          <w:p w14:paraId="15BEE618">
            <w:pPr>
              <w:adjustRightInd w:val="0"/>
              <w:snapToGrid w:val="0"/>
              <w:ind w:firstLine="480"/>
            </w:pPr>
            <w:r>
              <w:t>（四）建设项目环境影响评价及其他环境保护行政许可情况；</w:t>
            </w:r>
          </w:p>
          <w:p w14:paraId="09B70F15">
            <w:pPr>
              <w:adjustRightInd w:val="0"/>
              <w:snapToGrid w:val="0"/>
              <w:ind w:firstLine="480"/>
            </w:pPr>
            <w:r>
              <w:t>（五）突发环境事件应急预案；</w:t>
            </w:r>
          </w:p>
          <w:p w14:paraId="19A3EBB1">
            <w:pPr>
              <w:adjustRightInd w:val="0"/>
              <w:snapToGrid w:val="0"/>
              <w:ind w:firstLine="480"/>
            </w:pPr>
            <w:r>
              <w:t>（六）其他应当公开的环境信息。</w:t>
            </w:r>
          </w:p>
          <w:p w14:paraId="241A6FAE">
            <w:pPr>
              <w:adjustRightInd w:val="0"/>
              <w:snapToGrid w:val="0"/>
              <w:ind w:firstLine="480"/>
            </w:pPr>
            <w:r>
              <w:t>列入国家重点监控企业名单的重点排污单位还应当公开其环境自行监测方案。</w:t>
            </w:r>
          </w:p>
          <w:p w14:paraId="6DEAA4DE">
            <w:pPr>
              <w:adjustRightInd w:val="0"/>
              <w:snapToGrid w:val="0"/>
              <w:ind w:firstLine="480"/>
            </w:pPr>
            <w:r>
              <w:t>建设单位应按照上述要求公开项目的相关信息，采取的信息公开途径</w:t>
            </w:r>
            <w:r>
              <w:rPr>
                <w:rFonts w:hint="eastAsia"/>
              </w:rPr>
              <w:t>可以</w:t>
            </w:r>
            <w:r>
              <w:t>包括：</w:t>
            </w:r>
          </w:p>
          <w:p w14:paraId="5467E397">
            <w:pPr>
              <w:adjustRightInd w:val="0"/>
              <w:snapToGrid w:val="0"/>
              <w:ind w:firstLine="480"/>
            </w:pPr>
            <w:r>
              <w:t>①公告或者公开发行的信息专刊；</w:t>
            </w:r>
          </w:p>
          <w:p w14:paraId="511B0768">
            <w:pPr>
              <w:adjustRightInd w:val="0"/>
              <w:snapToGrid w:val="0"/>
              <w:ind w:firstLine="480"/>
            </w:pPr>
            <w:r>
              <w:t>②广播、电视等新闻媒体；</w:t>
            </w:r>
          </w:p>
          <w:p w14:paraId="0579495F">
            <w:pPr>
              <w:adjustRightInd w:val="0"/>
              <w:snapToGrid w:val="0"/>
              <w:ind w:firstLine="480"/>
            </w:pPr>
            <w:r>
              <w:t>③信息公开服务、监督热线电话；</w:t>
            </w:r>
          </w:p>
          <w:p w14:paraId="68683162">
            <w:pPr>
              <w:adjustRightInd w:val="0"/>
              <w:snapToGrid w:val="0"/>
              <w:ind w:firstLine="480"/>
            </w:pPr>
            <w:r>
              <w:t>④本单位的资料索取点、信息公开栏、信息亭、电子屏幕、电子触摸屏等场所或者设施；</w:t>
            </w:r>
          </w:p>
          <w:p w14:paraId="173BD662">
            <w:pPr>
              <w:adjustRightInd w:val="0"/>
              <w:snapToGrid w:val="0"/>
              <w:ind w:firstLine="480"/>
              <w:rPr>
                <w:sz w:val="21"/>
                <w:szCs w:val="21"/>
              </w:rPr>
            </w:pPr>
            <w:r>
              <w:t>⑤其他便于公众及时、准确获得信息的方式。</w:t>
            </w:r>
          </w:p>
        </w:tc>
      </w:tr>
    </w:tbl>
    <w:p w14:paraId="01755452">
      <w:pPr>
        <w:spacing w:before="120" w:beforeLines="50" w:after="120" w:afterLines="50" w:line="240" w:lineRule="auto"/>
        <w:ind w:firstLine="0" w:firstLineChars="0"/>
        <w:jc w:val="center"/>
        <w:rPr>
          <w:snapToGrid w:val="0"/>
        </w:rPr>
      </w:pPr>
    </w:p>
    <w:p w14:paraId="4EB0C840">
      <w:pPr>
        <w:bidi w:val="0"/>
        <w:ind w:left="0" w:leftChars="0" w:right="0" w:rightChars="0" w:firstLine="0" w:firstLineChars="0"/>
        <w:jc w:val="center"/>
        <w:rPr>
          <w:snapToGrid w:val="0"/>
          <w:color w:val="auto"/>
          <w:kern w:val="0"/>
        </w:rPr>
      </w:pPr>
      <w:r>
        <w:rPr>
          <w:snapToGrid w:val="0"/>
          <w:color w:val="auto"/>
        </w:rPr>
        <w:br w:type="page"/>
      </w:r>
      <w:bookmarkStart w:id="27" w:name="_Toc27594"/>
      <w:bookmarkStart w:id="28" w:name="_Toc29709"/>
      <w:r>
        <w:rPr>
          <w:rFonts w:hint="eastAsia"/>
        </w:rPr>
        <w:drawing>
          <wp:anchor distT="0" distB="0" distL="114300" distR="114300" simplePos="0" relativeHeight="251677696" behindDoc="0" locked="0" layoutInCell="1" allowOverlap="1">
            <wp:simplePos x="0" y="0"/>
            <wp:positionH relativeFrom="column">
              <wp:posOffset>-954405</wp:posOffset>
            </wp:positionH>
            <wp:positionV relativeFrom="paragraph">
              <wp:posOffset>-1057275</wp:posOffset>
            </wp:positionV>
            <wp:extent cx="7558405" cy="10692130"/>
            <wp:effectExtent l="0" t="0" r="4445" b="13970"/>
            <wp:wrapNone/>
            <wp:docPr id="76" name="图片 76" descr="2026030311232552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260303112325521_01"/>
                    <pic:cNvPicPr>
                      <a:picLocks noChangeAspect="1"/>
                    </pic:cNvPicPr>
                  </pic:nvPicPr>
                  <pic:blipFill>
                    <a:blip r:embed="rId56"/>
                    <a:stretch>
                      <a:fillRect/>
                    </a:stretch>
                  </pic:blipFill>
                  <pic:spPr>
                    <a:xfrm>
                      <a:off x="0" y="0"/>
                      <a:ext cx="7558405" cy="10692130"/>
                    </a:xfrm>
                    <a:prstGeom prst="rect">
                      <a:avLst/>
                    </a:prstGeom>
                  </pic:spPr>
                </pic:pic>
              </a:graphicData>
            </a:graphic>
          </wp:anchor>
        </w:drawing>
      </w:r>
      <w:r>
        <w:rPr>
          <w:rFonts w:hint="eastAsia"/>
        </w:rPr>
        <w:t>六</w:t>
      </w:r>
      <w:r>
        <w:t>、</w:t>
      </w:r>
      <w:r>
        <w:rPr>
          <w:rFonts w:hint="eastAsia"/>
        </w:rPr>
        <w:t>结论</w:t>
      </w:r>
      <w:bookmarkEnd w:id="27"/>
      <w:bookmarkEnd w:id="28"/>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00"/>
      </w:tblGrid>
      <w:tr w14:paraId="582041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00" w:type="dxa"/>
            <w:vAlign w:val="center"/>
          </w:tcPr>
          <w:p w14:paraId="05E2C986">
            <w:pPr>
              <w:widowControl/>
              <w:ind w:firstLine="480"/>
              <w:jc w:val="left"/>
            </w:pPr>
            <w:r>
              <w:rPr>
                <w:rFonts w:hint="eastAsia"/>
              </w:rPr>
              <w:t>福建省迈客邦建材有限公司</w:t>
            </w:r>
            <w:r>
              <w:t>年产</w:t>
            </w:r>
            <w:r>
              <w:rPr>
                <w:rFonts w:hint="eastAsia"/>
              </w:rPr>
              <w:t>3</w:t>
            </w:r>
            <w:r>
              <w:t>0000吨干粉</w:t>
            </w:r>
            <w:r>
              <w:rPr>
                <w:rFonts w:hint="eastAsia"/>
              </w:rPr>
              <w:t>砂浆项</w:t>
            </w:r>
            <w:r>
              <w:t>目</w:t>
            </w:r>
            <w:r>
              <w:rPr>
                <w:rFonts w:hint="eastAsia" w:ascii="宋体" w:hAnsi="宋体" w:cs="宋体"/>
                <w:kern w:val="0"/>
                <w:lang w:bidi="ar"/>
              </w:rPr>
              <w:t>的建设符合国家相关产业政策和生态环境分区管控控制要求。项目运营过程中产生的污水、废气、噪声、固废等经采取综合性、积极有效的防治措施后，能够实现污染物的达标排放，不会改变区域环境质量现状。在工程建设中，严格执行“三同时”制度，项目投产后</w:t>
            </w:r>
            <w:r>
              <w:rPr>
                <w:rFonts w:hint="eastAsia" w:ascii="宋体" w:hAnsi="宋体" w:cs="宋体"/>
                <w:kern w:val="0"/>
                <w:lang w:eastAsia="zh-CN" w:bidi="ar"/>
              </w:rPr>
              <w:t>，在</w:t>
            </w:r>
            <w:r>
              <w:rPr>
                <w:rFonts w:hint="eastAsia" w:ascii="宋体" w:hAnsi="宋体" w:cs="宋体"/>
                <w:kern w:val="0"/>
                <w:lang w:bidi="ar"/>
              </w:rPr>
              <w:t>严格落实各项环保措施和环境管理要求的前提下，可确保各污染物稳定达标排放，对周边环境影响较小，从环境保护的角度分析，该项目的建设是可行的。</w:t>
            </w:r>
          </w:p>
          <w:p w14:paraId="2AE9C942">
            <w:pPr>
              <w:ind w:firstLine="482"/>
              <w:rPr>
                <w:b/>
                <w:bCs/>
              </w:rPr>
            </w:pPr>
          </w:p>
          <w:p w14:paraId="6D37E2BF">
            <w:pPr>
              <w:ind w:firstLine="0" w:firstLineChars="0"/>
            </w:pPr>
          </w:p>
          <w:p w14:paraId="7AEE0B5F">
            <w:pPr>
              <w:keepNext/>
              <w:overflowPunct w:val="0"/>
              <w:ind w:firstLine="0" w:firstLineChars="0"/>
              <w:jc w:val="center"/>
              <w:outlineLvl w:val="0"/>
              <w:rPr>
                <w:b/>
                <w:bCs/>
                <w:kern w:val="44"/>
                <w:sz w:val="32"/>
                <w:szCs w:val="30"/>
              </w:rPr>
            </w:pPr>
          </w:p>
          <w:p w14:paraId="541F2E0E">
            <w:pPr>
              <w:ind w:firstLine="4096" w:firstLineChars="1700"/>
              <w:rPr>
                <w:b/>
                <w:bCs/>
                <w:kern w:val="44"/>
              </w:rPr>
            </w:pPr>
            <w:r>
              <w:rPr>
                <w:b/>
                <w:bCs/>
                <w:kern w:val="44"/>
              </w:rPr>
              <w:t>编制单位：</w:t>
            </w:r>
            <w:r>
              <w:rPr>
                <w:rFonts w:hint="eastAsia"/>
                <w:b/>
                <w:bCs/>
                <w:kern w:val="44"/>
              </w:rPr>
              <w:t>福建新时代环保科技有限公司</w:t>
            </w:r>
          </w:p>
          <w:p w14:paraId="66426900">
            <w:pPr>
              <w:ind w:firstLine="4096" w:firstLineChars="1700"/>
              <w:rPr>
                <w:b/>
                <w:bCs/>
                <w:kern w:val="44"/>
              </w:rPr>
            </w:pPr>
            <w:r>
              <w:rPr>
                <w:b/>
                <w:bCs/>
                <w:kern w:val="44"/>
              </w:rPr>
              <w:t>编制时间</w:t>
            </w:r>
            <w:r>
              <w:rPr>
                <w:rFonts w:hint="eastAsia"/>
                <w:b/>
                <w:bCs/>
                <w:kern w:val="44"/>
              </w:rPr>
              <w:t>：2026年</w:t>
            </w:r>
            <w:r>
              <w:rPr>
                <w:rFonts w:hint="eastAsia"/>
                <w:b/>
                <w:bCs/>
                <w:kern w:val="44"/>
                <w:lang w:val="en-US" w:eastAsia="zh-CN"/>
              </w:rPr>
              <w:t>2</w:t>
            </w:r>
            <w:r>
              <w:rPr>
                <w:rFonts w:hint="eastAsia"/>
                <w:b/>
                <w:bCs/>
                <w:kern w:val="44"/>
              </w:rPr>
              <w:t>月</w:t>
            </w:r>
          </w:p>
          <w:p w14:paraId="6716611A">
            <w:pPr>
              <w:ind w:firstLine="480"/>
            </w:pPr>
          </w:p>
          <w:p w14:paraId="65B76665">
            <w:pPr>
              <w:keepNext/>
              <w:overflowPunct w:val="0"/>
              <w:ind w:firstLine="0" w:firstLineChars="0"/>
              <w:jc w:val="center"/>
              <w:outlineLvl w:val="0"/>
              <w:rPr>
                <w:b/>
                <w:bCs/>
                <w:kern w:val="44"/>
                <w:sz w:val="32"/>
                <w:szCs w:val="30"/>
              </w:rPr>
            </w:pPr>
          </w:p>
          <w:p w14:paraId="3CA296C0">
            <w:pPr>
              <w:keepNext/>
              <w:overflowPunct w:val="0"/>
              <w:ind w:firstLine="0" w:firstLineChars="0"/>
              <w:jc w:val="center"/>
              <w:outlineLvl w:val="0"/>
              <w:rPr>
                <w:b/>
                <w:bCs/>
                <w:kern w:val="44"/>
                <w:sz w:val="32"/>
                <w:szCs w:val="30"/>
              </w:rPr>
            </w:pPr>
          </w:p>
          <w:p w14:paraId="04BC879E">
            <w:pPr>
              <w:ind w:firstLine="480"/>
            </w:pPr>
          </w:p>
          <w:p w14:paraId="510C216A">
            <w:pPr>
              <w:spacing w:after="120"/>
              <w:ind w:left="480" w:leftChars="200" w:firstLine="480"/>
              <w:rPr>
                <w:kern w:val="0"/>
                <w:szCs w:val="20"/>
              </w:rPr>
            </w:pPr>
          </w:p>
          <w:p w14:paraId="7215F653">
            <w:pPr>
              <w:spacing w:after="120"/>
              <w:ind w:left="480" w:leftChars="200" w:firstLine="480"/>
              <w:rPr>
                <w:kern w:val="0"/>
                <w:szCs w:val="20"/>
              </w:rPr>
            </w:pPr>
          </w:p>
          <w:p w14:paraId="62943E67">
            <w:pPr>
              <w:spacing w:after="120"/>
              <w:ind w:left="480" w:leftChars="200" w:firstLine="480"/>
              <w:rPr>
                <w:kern w:val="0"/>
                <w:szCs w:val="20"/>
              </w:rPr>
            </w:pPr>
          </w:p>
          <w:p w14:paraId="5A9E1B66">
            <w:pPr>
              <w:spacing w:after="120"/>
              <w:ind w:left="480" w:leftChars="200" w:firstLine="480"/>
              <w:rPr>
                <w:kern w:val="0"/>
                <w:szCs w:val="20"/>
              </w:rPr>
            </w:pPr>
          </w:p>
          <w:p w14:paraId="33B43332">
            <w:pPr>
              <w:spacing w:after="120"/>
              <w:ind w:left="480" w:leftChars="200" w:firstLine="480"/>
              <w:rPr>
                <w:kern w:val="0"/>
                <w:szCs w:val="20"/>
              </w:rPr>
            </w:pPr>
          </w:p>
          <w:p w14:paraId="1B895CFB">
            <w:pPr>
              <w:spacing w:after="120"/>
              <w:ind w:left="480" w:leftChars="200" w:firstLine="480"/>
              <w:rPr>
                <w:kern w:val="0"/>
                <w:szCs w:val="20"/>
              </w:rPr>
            </w:pPr>
          </w:p>
          <w:p w14:paraId="421BEE16">
            <w:pPr>
              <w:spacing w:after="120"/>
              <w:ind w:left="480" w:leftChars="200" w:firstLine="480"/>
              <w:rPr>
                <w:kern w:val="0"/>
                <w:szCs w:val="20"/>
              </w:rPr>
            </w:pPr>
          </w:p>
          <w:p w14:paraId="2D045DFE">
            <w:pPr>
              <w:spacing w:after="120"/>
              <w:ind w:firstLine="0" w:firstLineChars="0"/>
              <w:rPr>
                <w:kern w:val="0"/>
                <w:szCs w:val="20"/>
              </w:rPr>
            </w:pPr>
          </w:p>
        </w:tc>
      </w:tr>
    </w:tbl>
    <w:p w14:paraId="0AE1BFF3">
      <w:pPr>
        <w:ind w:firstLine="480"/>
        <w:sectPr>
          <w:pgSz w:w="11906" w:h="16838"/>
          <w:pgMar w:top="1701" w:right="1531" w:bottom="1701" w:left="1531" w:header="851" w:footer="851" w:gutter="0"/>
          <w:cols w:space="720" w:num="1"/>
          <w:docGrid w:linePitch="312" w:charSpace="0"/>
        </w:sectPr>
      </w:pPr>
    </w:p>
    <w:p w14:paraId="5A874BF0">
      <w:pPr>
        <w:keepNext/>
        <w:overflowPunct w:val="0"/>
        <w:ind w:firstLine="0" w:firstLineChars="0"/>
        <w:outlineLvl w:val="0"/>
        <w:rPr>
          <w:b/>
          <w:bCs/>
          <w:kern w:val="44"/>
          <w:sz w:val="32"/>
          <w:szCs w:val="30"/>
        </w:rPr>
      </w:pPr>
      <w:bookmarkStart w:id="29" w:name="_Toc6409"/>
      <w:bookmarkStart w:id="30" w:name="_Toc32521"/>
      <w:r>
        <w:rPr>
          <w:b/>
          <w:bCs/>
          <w:kern w:val="44"/>
          <w:sz w:val="32"/>
          <w:szCs w:val="30"/>
        </w:rPr>
        <w:t>附表</w:t>
      </w:r>
      <w:bookmarkEnd w:id="29"/>
      <w:bookmarkEnd w:id="30"/>
    </w:p>
    <w:p w14:paraId="5904C175">
      <w:pPr>
        <w:ind w:firstLine="0" w:firstLineChars="0"/>
        <w:jc w:val="center"/>
        <w:rPr>
          <w:rFonts w:ascii="方正小标宋_GBK" w:hAnsi="方正小标宋_GBK" w:eastAsia="方正小标宋_GBK" w:cs="方正小标宋_GBK"/>
          <w:sz w:val="38"/>
          <w:szCs w:val="38"/>
        </w:rPr>
      </w:pPr>
      <w:r>
        <w:rPr>
          <w:rFonts w:hint="eastAsia" w:ascii="方正小标宋_GBK" w:hAnsi="方正小标宋_GBK" w:eastAsia="方正小标宋_GBK" w:cs="方正小标宋_GBK"/>
          <w:sz w:val="38"/>
          <w:szCs w:val="38"/>
        </w:rPr>
        <w:t>建设项目污染物排放量汇总表</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1834"/>
        <w:gridCol w:w="1582"/>
        <w:gridCol w:w="1276"/>
        <w:gridCol w:w="1702"/>
        <w:gridCol w:w="1560"/>
        <w:gridCol w:w="1444"/>
        <w:gridCol w:w="1790"/>
        <w:gridCol w:w="1317"/>
      </w:tblGrid>
      <w:tr w14:paraId="5A6B3D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7" w:hRule="atLeast"/>
          <w:jc w:val="center"/>
        </w:trPr>
        <w:tc>
          <w:tcPr>
            <w:tcW w:w="1290" w:type="dxa"/>
            <w:tcBorders>
              <w:tl2br w:val="single" w:color="auto" w:sz="4" w:space="0"/>
            </w:tcBorders>
            <w:tcMar>
              <w:left w:w="28" w:type="dxa"/>
              <w:right w:w="28" w:type="dxa"/>
            </w:tcMar>
            <w:vAlign w:val="center"/>
          </w:tcPr>
          <w:p w14:paraId="09DE0344">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 xml:space="preserve">      项目</w:t>
            </w:r>
          </w:p>
          <w:p w14:paraId="72DB4667">
            <w:pPr>
              <w:adjustRightInd w:val="0"/>
              <w:snapToGrid w:val="0"/>
              <w:spacing w:line="240" w:lineRule="auto"/>
              <w:ind w:firstLine="211" w:firstLineChars="100"/>
              <w:rPr>
                <w:b/>
                <w:bCs/>
                <w:snapToGrid w:val="0"/>
                <w:kern w:val="21"/>
                <w:sz w:val="21"/>
                <w:szCs w:val="21"/>
              </w:rPr>
            </w:pPr>
            <w:r>
              <w:rPr>
                <w:b/>
                <w:bCs/>
                <w:snapToGrid w:val="0"/>
                <w:kern w:val="21"/>
                <w:sz w:val="21"/>
                <w:szCs w:val="21"/>
              </w:rPr>
              <w:t>分类</w:t>
            </w:r>
          </w:p>
        </w:tc>
        <w:tc>
          <w:tcPr>
            <w:tcW w:w="1834" w:type="dxa"/>
            <w:tcMar>
              <w:left w:w="28" w:type="dxa"/>
              <w:right w:w="28" w:type="dxa"/>
            </w:tcMar>
            <w:vAlign w:val="center"/>
          </w:tcPr>
          <w:p w14:paraId="03DEB93B">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污染物名称</w:t>
            </w:r>
          </w:p>
        </w:tc>
        <w:tc>
          <w:tcPr>
            <w:tcW w:w="1582" w:type="dxa"/>
            <w:tcMar>
              <w:left w:w="28" w:type="dxa"/>
              <w:right w:w="28" w:type="dxa"/>
            </w:tcMar>
            <w:vAlign w:val="center"/>
          </w:tcPr>
          <w:p w14:paraId="02CB0795">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现有工程</w:t>
            </w:r>
          </w:p>
          <w:p w14:paraId="5E38E212">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排放量</w:t>
            </w:r>
            <w:r>
              <w:rPr>
                <w:rFonts w:hint="eastAsia"/>
                <w:b/>
                <w:bCs/>
                <w:snapToGrid w:val="0"/>
                <w:kern w:val="21"/>
                <w:sz w:val="21"/>
                <w:szCs w:val="21"/>
              </w:rPr>
              <w:t>（</w:t>
            </w:r>
            <w:r>
              <w:rPr>
                <w:b/>
                <w:bCs/>
                <w:snapToGrid w:val="0"/>
                <w:kern w:val="21"/>
                <w:sz w:val="21"/>
                <w:szCs w:val="21"/>
              </w:rPr>
              <w:t>固体废物产生量</w:t>
            </w:r>
            <w:r>
              <w:rPr>
                <w:rFonts w:hint="eastAsia"/>
                <w:b/>
                <w:bCs/>
                <w:snapToGrid w:val="0"/>
                <w:kern w:val="21"/>
                <w:sz w:val="21"/>
                <w:szCs w:val="21"/>
              </w:rPr>
              <w:t>）</w:t>
            </w:r>
            <w:r>
              <w:rPr>
                <w:b/>
                <w:bCs/>
                <w:snapToGrid w:val="0"/>
                <w:kern w:val="21"/>
                <w:sz w:val="21"/>
                <w:szCs w:val="21"/>
              </w:rPr>
              <w:fldChar w:fldCharType="begin"/>
            </w:r>
            <w:r>
              <w:rPr>
                <w:b/>
                <w:bCs/>
                <w:snapToGrid w:val="0"/>
                <w:kern w:val="21"/>
                <w:sz w:val="21"/>
                <w:szCs w:val="21"/>
              </w:rPr>
              <w:instrText xml:space="preserve"> = 1 \* GB3 \* MERGEFORMAT </w:instrText>
            </w:r>
            <w:r>
              <w:rPr>
                <w:b/>
                <w:bCs/>
                <w:snapToGrid w:val="0"/>
                <w:kern w:val="21"/>
                <w:sz w:val="21"/>
                <w:szCs w:val="21"/>
              </w:rPr>
              <w:fldChar w:fldCharType="separate"/>
            </w:r>
            <w:r>
              <w:rPr>
                <w:b/>
                <w:bCs/>
                <w:snapToGrid w:val="0"/>
                <w:kern w:val="21"/>
                <w:sz w:val="21"/>
                <w:szCs w:val="21"/>
              </w:rPr>
              <w:t>①</w:t>
            </w:r>
            <w:r>
              <w:rPr>
                <w:b/>
                <w:bCs/>
                <w:snapToGrid w:val="0"/>
                <w:kern w:val="21"/>
                <w:sz w:val="21"/>
                <w:szCs w:val="21"/>
              </w:rPr>
              <w:fldChar w:fldCharType="end"/>
            </w:r>
          </w:p>
        </w:tc>
        <w:tc>
          <w:tcPr>
            <w:tcW w:w="1276" w:type="dxa"/>
            <w:tcMar>
              <w:left w:w="28" w:type="dxa"/>
              <w:right w:w="28" w:type="dxa"/>
            </w:tcMar>
            <w:vAlign w:val="center"/>
          </w:tcPr>
          <w:p w14:paraId="2A44EA7B">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现有工程</w:t>
            </w:r>
          </w:p>
          <w:p w14:paraId="541317AC">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许可排放量</w:t>
            </w:r>
          </w:p>
          <w:p w14:paraId="7A16F103">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fldChar w:fldCharType="begin"/>
            </w:r>
            <w:r>
              <w:rPr>
                <w:b/>
                <w:bCs/>
                <w:snapToGrid w:val="0"/>
                <w:kern w:val="21"/>
                <w:sz w:val="21"/>
                <w:szCs w:val="21"/>
              </w:rPr>
              <w:instrText xml:space="preserve"> = 2 \* GB3 \* MERGEFORMAT </w:instrText>
            </w:r>
            <w:r>
              <w:rPr>
                <w:b/>
                <w:bCs/>
                <w:snapToGrid w:val="0"/>
                <w:kern w:val="21"/>
                <w:sz w:val="21"/>
                <w:szCs w:val="21"/>
              </w:rPr>
              <w:fldChar w:fldCharType="separate"/>
            </w:r>
            <w:r>
              <w:rPr>
                <w:b/>
                <w:bCs/>
                <w:snapToGrid w:val="0"/>
                <w:kern w:val="21"/>
                <w:sz w:val="21"/>
                <w:szCs w:val="21"/>
              </w:rPr>
              <w:t>②</w:t>
            </w:r>
            <w:r>
              <w:rPr>
                <w:b/>
                <w:bCs/>
                <w:snapToGrid w:val="0"/>
                <w:kern w:val="21"/>
                <w:sz w:val="21"/>
                <w:szCs w:val="21"/>
              </w:rPr>
              <w:fldChar w:fldCharType="end"/>
            </w:r>
          </w:p>
        </w:tc>
        <w:tc>
          <w:tcPr>
            <w:tcW w:w="1702" w:type="dxa"/>
            <w:tcMar>
              <w:left w:w="28" w:type="dxa"/>
              <w:right w:w="28" w:type="dxa"/>
            </w:tcMar>
            <w:vAlign w:val="center"/>
          </w:tcPr>
          <w:p w14:paraId="14DE8967">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在建工程</w:t>
            </w:r>
          </w:p>
          <w:p w14:paraId="54239692">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排放量</w:t>
            </w:r>
            <w:r>
              <w:rPr>
                <w:rFonts w:hint="eastAsia"/>
                <w:b/>
                <w:bCs/>
                <w:snapToGrid w:val="0"/>
                <w:kern w:val="21"/>
                <w:sz w:val="21"/>
                <w:szCs w:val="21"/>
              </w:rPr>
              <w:t>（</w:t>
            </w:r>
            <w:r>
              <w:rPr>
                <w:b/>
                <w:bCs/>
                <w:snapToGrid w:val="0"/>
                <w:kern w:val="21"/>
                <w:sz w:val="21"/>
                <w:szCs w:val="21"/>
              </w:rPr>
              <w:t>固体废物产生量</w:t>
            </w:r>
            <w:r>
              <w:rPr>
                <w:rFonts w:hint="eastAsia"/>
                <w:b/>
                <w:bCs/>
                <w:snapToGrid w:val="0"/>
                <w:kern w:val="21"/>
                <w:sz w:val="21"/>
                <w:szCs w:val="21"/>
              </w:rPr>
              <w:t>）</w:t>
            </w:r>
            <w:r>
              <w:rPr>
                <w:b/>
                <w:bCs/>
                <w:snapToGrid w:val="0"/>
                <w:kern w:val="21"/>
                <w:sz w:val="21"/>
                <w:szCs w:val="21"/>
              </w:rPr>
              <w:fldChar w:fldCharType="begin"/>
            </w:r>
            <w:r>
              <w:rPr>
                <w:b/>
                <w:bCs/>
                <w:snapToGrid w:val="0"/>
                <w:kern w:val="21"/>
                <w:sz w:val="21"/>
                <w:szCs w:val="21"/>
              </w:rPr>
              <w:instrText xml:space="preserve"> = 3 \* GB3 \* MERGEFORMAT </w:instrText>
            </w:r>
            <w:r>
              <w:rPr>
                <w:b/>
                <w:bCs/>
                <w:snapToGrid w:val="0"/>
                <w:kern w:val="21"/>
                <w:sz w:val="21"/>
                <w:szCs w:val="21"/>
              </w:rPr>
              <w:fldChar w:fldCharType="separate"/>
            </w:r>
            <w:r>
              <w:rPr>
                <w:b/>
                <w:bCs/>
                <w:snapToGrid w:val="0"/>
                <w:kern w:val="21"/>
                <w:sz w:val="21"/>
                <w:szCs w:val="21"/>
              </w:rPr>
              <w:t>③</w:t>
            </w:r>
            <w:r>
              <w:rPr>
                <w:b/>
                <w:bCs/>
                <w:snapToGrid w:val="0"/>
                <w:kern w:val="21"/>
                <w:sz w:val="21"/>
                <w:szCs w:val="21"/>
              </w:rPr>
              <w:fldChar w:fldCharType="end"/>
            </w:r>
          </w:p>
        </w:tc>
        <w:tc>
          <w:tcPr>
            <w:tcW w:w="1560" w:type="dxa"/>
            <w:tcMar>
              <w:left w:w="28" w:type="dxa"/>
              <w:right w:w="28" w:type="dxa"/>
            </w:tcMar>
            <w:vAlign w:val="center"/>
          </w:tcPr>
          <w:p w14:paraId="04ADCF67">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本项目</w:t>
            </w:r>
          </w:p>
          <w:p w14:paraId="75C01E9F">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排放量</w:t>
            </w:r>
            <w:r>
              <w:rPr>
                <w:rFonts w:hint="eastAsia"/>
                <w:b/>
                <w:bCs/>
                <w:snapToGrid w:val="0"/>
                <w:kern w:val="21"/>
                <w:sz w:val="21"/>
                <w:szCs w:val="21"/>
              </w:rPr>
              <w:t>（</w:t>
            </w:r>
            <w:r>
              <w:rPr>
                <w:b/>
                <w:bCs/>
                <w:snapToGrid w:val="0"/>
                <w:kern w:val="21"/>
                <w:sz w:val="21"/>
                <w:szCs w:val="21"/>
              </w:rPr>
              <w:t>固体废物产生量</w:t>
            </w:r>
            <w:r>
              <w:rPr>
                <w:rFonts w:hint="eastAsia"/>
                <w:b/>
                <w:bCs/>
                <w:snapToGrid w:val="0"/>
                <w:kern w:val="21"/>
                <w:sz w:val="21"/>
                <w:szCs w:val="21"/>
              </w:rPr>
              <w:t>）</w:t>
            </w:r>
            <w:r>
              <w:rPr>
                <w:b/>
                <w:bCs/>
                <w:snapToGrid w:val="0"/>
                <w:kern w:val="21"/>
                <w:sz w:val="21"/>
                <w:szCs w:val="21"/>
              </w:rPr>
              <w:fldChar w:fldCharType="begin"/>
            </w:r>
            <w:r>
              <w:rPr>
                <w:b/>
                <w:bCs/>
                <w:snapToGrid w:val="0"/>
                <w:kern w:val="21"/>
                <w:sz w:val="21"/>
                <w:szCs w:val="21"/>
              </w:rPr>
              <w:instrText xml:space="preserve"> = 4 \* GB3 \* MERGEFORMAT </w:instrText>
            </w:r>
            <w:r>
              <w:rPr>
                <w:b/>
                <w:bCs/>
                <w:snapToGrid w:val="0"/>
                <w:kern w:val="21"/>
                <w:sz w:val="21"/>
                <w:szCs w:val="21"/>
              </w:rPr>
              <w:fldChar w:fldCharType="separate"/>
            </w:r>
            <w:r>
              <w:rPr>
                <w:b/>
                <w:bCs/>
                <w:snapToGrid w:val="0"/>
                <w:kern w:val="21"/>
                <w:sz w:val="21"/>
                <w:szCs w:val="21"/>
              </w:rPr>
              <w:t>④</w:t>
            </w:r>
            <w:r>
              <w:rPr>
                <w:b/>
                <w:bCs/>
                <w:snapToGrid w:val="0"/>
                <w:kern w:val="21"/>
                <w:sz w:val="21"/>
                <w:szCs w:val="21"/>
              </w:rPr>
              <w:fldChar w:fldCharType="end"/>
            </w:r>
          </w:p>
        </w:tc>
        <w:tc>
          <w:tcPr>
            <w:tcW w:w="1444" w:type="dxa"/>
            <w:tcMar>
              <w:left w:w="28" w:type="dxa"/>
              <w:right w:w="28" w:type="dxa"/>
            </w:tcMar>
            <w:vAlign w:val="center"/>
          </w:tcPr>
          <w:p w14:paraId="10A1698C">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以新带老削减量</w:t>
            </w:r>
            <w:r>
              <w:rPr>
                <w:rFonts w:hint="eastAsia"/>
                <w:b/>
                <w:bCs/>
                <w:snapToGrid w:val="0"/>
                <w:kern w:val="21"/>
                <w:sz w:val="21"/>
                <w:szCs w:val="21"/>
              </w:rPr>
              <w:t>（</w:t>
            </w:r>
            <w:r>
              <w:rPr>
                <w:b/>
                <w:bCs/>
                <w:snapToGrid w:val="0"/>
                <w:kern w:val="21"/>
                <w:sz w:val="21"/>
                <w:szCs w:val="21"/>
              </w:rPr>
              <w:t>新建项目不填</w:t>
            </w:r>
            <w:r>
              <w:rPr>
                <w:rFonts w:hint="eastAsia"/>
                <w:b/>
                <w:bCs/>
                <w:snapToGrid w:val="0"/>
                <w:kern w:val="21"/>
                <w:sz w:val="21"/>
                <w:szCs w:val="21"/>
              </w:rPr>
              <w:t>）</w:t>
            </w:r>
            <w:r>
              <w:rPr>
                <w:b/>
                <w:bCs/>
                <w:snapToGrid w:val="0"/>
                <w:kern w:val="21"/>
                <w:sz w:val="21"/>
                <w:szCs w:val="21"/>
              </w:rPr>
              <w:fldChar w:fldCharType="begin"/>
            </w:r>
            <w:r>
              <w:rPr>
                <w:b/>
                <w:bCs/>
                <w:snapToGrid w:val="0"/>
                <w:kern w:val="21"/>
                <w:sz w:val="21"/>
                <w:szCs w:val="21"/>
              </w:rPr>
              <w:instrText xml:space="preserve"> = 5 \* GB3 \* MERGEFORMAT </w:instrText>
            </w:r>
            <w:r>
              <w:rPr>
                <w:b/>
                <w:bCs/>
                <w:snapToGrid w:val="0"/>
                <w:kern w:val="21"/>
                <w:sz w:val="21"/>
                <w:szCs w:val="21"/>
              </w:rPr>
              <w:fldChar w:fldCharType="separate"/>
            </w:r>
            <w:r>
              <w:rPr>
                <w:b/>
                <w:bCs/>
                <w:snapToGrid w:val="0"/>
                <w:kern w:val="21"/>
                <w:sz w:val="21"/>
                <w:szCs w:val="21"/>
              </w:rPr>
              <w:t>⑤</w:t>
            </w:r>
            <w:r>
              <w:rPr>
                <w:b/>
                <w:bCs/>
                <w:snapToGrid w:val="0"/>
                <w:kern w:val="21"/>
                <w:sz w:val="21"/>
                <w:szCs w:val="21"/>
              </w:rPr>
              <w:fldChar w:fldCharType="end"/>
            </w:r>
          </w:p>
        </w:tc>
        <w:tc>
          <w:tcPr>
            <w:tcW w:w="1790" w:type="dxa"/>
            <w:tcMar>
              <w:left w:w="28" w:type="dxa"/>
              <w:right w:w="28" w:type="dxa"/>
            </w:tcMar>
            <w:vAlign w:val="center"/>
          </w:tcPr>
          <w:p w14:paraId="50967BE1">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本项目建成后</w:t>
            </w:r>
          </w:p>
          <w:p w14:paraId="3CED33BF">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全厂排放量</w:t>
            </w:r>
            <w:r>
              <w:rPr>
                <w:rFonts w:hint="eastAsia"/>
                <w:b/>
                <w:bCs/>
                <w:snapToGrid w:val="0"/>
                <w:kern w:val="21"/>
                <w:sz w:val="21"/>
                <w:szCs w:val="21"/>
              </w:rPr>
              <w:t>（</w:t>
            </w:r>
            <w:r>
              <w:rPr>
                <w:b/>
                <w:bCs/>
                <w:snapToGrid w:val="0"/>
                <w:kern w:val="21"/>
                <w:sz w:val="21"/>
                <w:szCs w:val="21"/>
              </w:rPr>
              <w:t>固体废物产生量</w:t>
            </w:r>
            <w:r>
              <w:rPr>
                <w:rFonts w:hint="eastAsia"/>
                <w:b/>
                <w:bCs/>
                <w:snapToGrid w:val="0"/>
                <w:kern w:val="21"/>
                <w:sz w:val="21"/>
                <w:szCs w:val="21"/>
              </w:rPr>
              <w:t>）</w:t>
            </w:r>
            <w:r>
              <w:rPr>
                <w:b/>
                <w:bCs/>
                <w:snapToGrid w:val="0"/>
                <w:kern w:val="21"/>
                <w:sz w:val="21"/>
                <w:szCs w:val="21"/>
              </w:rPr>
              <w:fldChar w:fldCharType="begin"/>
            </w:r>
            <w:r>
              <w:rPr>
                <w:b/>
                <w:bCs/>
                <w:snapToGrid w:val="0"/>
                <w:kern w:val="21"/>
                <w:sz w:val="21"/>
                <w:szCs w:val="21"/>
              </w:rPr>
              <w:instrText xml:space="preserve"> = 6 \* GB3 \* MERGEFORMAT </w:instrText>
            </w:r>
            <w:r>
              <w:rPr>
                <w:b/>
                <w:bCs/>
                <w:snapToGrid w:val="0"/>
                <w:kern w:val="21"/>
                <w:sz w:val="21"/>
                <w:szCs w:val="21"/>
              </w:rPr>
              <w:fldChar w:fldCharType="separate"/>
            </w:r>
            <w:r>
              <w:rPr>
                <w:b/>
                <w:bCs/>
                <w:snapToGrid w:val="0"/>
                <w:kern w:val="21"/>
                <w:sz w:val="21"/>
                <w:szCs w:val="21"/>
              </w:rPr>
              <w:t>⑥</w:t>
            </w:r>
            <w:r>
              <w:rPr>
                <w:b/>
                <w:bCs/>
                <w:snapToGrid w:val="0"/>
                <w:kern w:val="21"/>
                <w:sz w:val="21"/>
                <w:szCs w:val="21"/>
              </w:rPr>
              <w:fldChar w:fldCharType="end"/>
            </w:r>
          </w:p>
        </w:tc>
        <w:tc>
          <w:tcPr>
            <w:tcW w:w="1317" w:type="dxa"/>
            <w:tcMar>
              <w:left w:w="28" w:type="dxa"/>
              <w:right w:w="28" w:type="dxa"/>
            </w:tcMar>
            <w:vAlign w:val="center"/>
          </w:tcPr>
          <w:p w14:paraId="7606EACF">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t>变化量</w:t>
            </w:r>
          </w:p>
          <w:p w14:paraId="1CD2E46A">
            <w:pPr>
              <w:adjustRightInd w:val="0"/>
              <w:snapToGrid w:val="0"/>
              <w:spacing w:line="240" w:lineRule="auto"/>
              <w:ind w:firstLine="0" w:firstLineChars="0"/>
              <w:jc w:val="center"/>
              <w:rPr>
                <w:b/>
                <w:bCs/>
                <w:snapToGrid w:val="0"/>
                <w:kern w:val="21"/>
                <w:sz w:val="21"/>
                <w:szCs w:val="21"/>
              </w:rPr>
            </w:pPr>
            <w:r>
              <w:rPr>
                <w:b/>
                <w:bCs/>
                <w:snapToGrid w:val="0"/>
                <w:kern w:val="21"/>
                <w:sz w:val="21"/>
                <w:szCs w:val="21"/>
              </w:rPr>
              <w:fldChar w:fldCharType="begin"/>
            </w:r>
            <w:r>
              <w:rPr>
                <w:b/>
                <w:bCs/>
                <w:snapToGrid w:val="0"/>
                <w:kern w:val="21"/>
                <w:sz w:val="21"/>
                <w:szCs w:val="21"/>
              </w:rPr>
              <w:instrText xml:space="preserve"> = 7 \* GB3 \* MERGEFORMAT </w:instrText>
            </w:r>
            <w:r>
              <w:rPr>
                <w:b/>
                <w:bCs/>
                <w:snapToGrid w:val="0"/>
                <w:kern w:val="21"/>
                <w:sz w:val="21"/>
                <w:szCs w:val="21"/>
              </w:rPr>
              <w:fldChar w:fldCharType="separate"/>
            </w:r>
            <w:r>
              <w:rPr>
                <w:b/>
                <w:bCs/>
                <w:snapToGrid w:val="0"/>
                <w:kern w:val="21"/>
                <w:sz w:val="21"/>
                <w:szCs w:val="21"/>
              </w:rPr>
              <w:t>⑦</w:t>
            </w:r>
            <w:r>
              <w:rPr>
                <w:b/>
                <w:bCs/>
                <w:snapToGrid w:val="0"/>
                <w:kern w:val="21"/>
                <w:sz w:val="21"/>
                <w:szCs w:val="21"/>
              </w:rPr>
              <w:fldChar w:fldCharType="end"/>
            </w:r>
          </w:p>
        </w:tc>
      </w:tr>
      <w:tr w14:paraId="3094D3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1290" w:type="dxa"/>
            <w:vAlign w:val="center"/>
          </w:tcPr>
          <w:p w14:paraId="2DD3046C">
            <w:pPr>
              <w:adjustRightInd w:val="0"/>
              <w:snapToGrid w:val="0"/>
              <w:spacing w:line="240" w:lineRule="auto"/>
              <w:ind w:firstLine="0" w:firstLineChars="0"/>
              <w:jc w:val="center"/>
              <w:rPr>
                <w:snapToGrid w:val="0"/>
                <w:kern w:val="21"/>
                <w:sz w:val="21"/>
                <w:szCs w:val="21"/>
              </w:rPr>
            </w:pPr>
            <w:r>
              <w:rPr>
                <w:snapToGrid w:val="0"/>
                <w:kern w:val="21"/>
                <w:sz w:val="21"/>
                <w:szCs w:val="21"/>
              </w:rPr>
              <w:t>废气</w:t>
            </w:r>
          </w:p>
        </w:tc>
        <w:tc>
          <w:tcPr>
            <w:tcW w:w="1834" w:type="dxa"/>
            <w:vAlign w:val="center"/>
          </w:tcPr>
          <w:p w14:paraId="248C86A7">
            <w:pPr>
              <w:spacing w:line="240" w:lineRule="auto"/>
              <w:ind w:firstLine="0" w:firstLineChars="0"/>
              <w:jc w:val="center"/>
              <w:rPr>
                <w:sz w:val="21"/>
                <w:szCs w:val="21"/>
              </w:rPr>
            </w:pPr>
            <w:r>
              <w:rPr>
                <w:rFonts w:hint="eastAsia"/>
                <w:sz w:val="21"/>
                <w:szCs w:val="21"/>
              </w:rPr>
              <w:t>颗粒物</w:t>
            </w:r>
          </w:p>
        </w:tc>
        <w:tc>
          <w:tcPr>
            <w:tcW w:w="1582" w:type="dxa"/>
            <w:vAlign w:val="center"/>
          </w:tcPr>
          <w:p w14:paraId="248639E7">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276" w:type="dxa"/>
            <w:vAlign w:val="center"/>
          </w:tcPr>
          <w:p w14:paraId="7B7F4C0B">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02" w:type="dxa"/>
            <w:vAlign w:val="center"/>
          </w:tcPr>
          <w:p w14:paraId="37ECE7B7">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560" w:type="dxa"/>
            <w:vAlign w:val="center"/>
          </w:tcPr>
          <w:p w14:paraId="146E939A">
            <w:pPr>
              <w:adjustRightInd w:val="0"/>
              <w:snapToGrid w:val="0"/>
              <w:spacing w:line="240" w:lineRule="auto"/>
              <w:ind w:firstLine="0" w:firstLineChars="0"/>
              <w:jc w:val="center"/>
              <w:rPr>
                <w:kern w:val="0"/>
                <w:sz w:val="21"/>
                <w:szCs w:val="21"/>
              </w:rPr>
            </w:pPr>
            <w:r>
              <w:rPr>
                <w:rFonts w:hint="eastAsia" w:eastAsia="Times New Roman"/>
                <w:spacing w:val="-1"/>
                <w:kern w:val="0"/>
                <w:sz w:val="21"/>
                <w:szCs w:val="21"/>
              </w:rPr>
              <w:t>0.3149</w:t>
            </w:r>
            <w:r>
              <w:rPr>
                <w:rFonts w:eastAsia="Times New Roman"/>
                <w:spacing w:val="-1"/>
                <w:kern w:val="0"/>
                <w:sz w:val="21"/>
                <w:szCs w:val="21"/>
              </w:rPr>
              <w:t>t/a</w:t>
            </w:r>
          </w:p>
        </w:tc>
        <w:tc>
          <w:tcPr>
            <w:tcW w:w="1444" w:type="dxa"/>
            <w:vAlign w:val="center"/>
          </w:tcPr>
          <w:p w14:paraId="3653E2FD">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90" w:type="dxa"/>
            <w:vAlign w:val="center"/>
          </w:tcPr>
          <w:p w14:paraId="6D398D2C">
            <w:pPr>
              <w:adjustRightInd w:val="0"/>
              <w:snapToGrid w:val="0"/>
              <w:spacing w:line="240" w:lineRule="auto"/>
              <w:ind w:firstLine="0" w:firstLineChars="0"/>
              <w:jc w:val="center"/>
              <w:rPr>
                <w:kern w:val="0"/>
                <w:sz w:val="21"/>
                <w:szCs w:val="21"/>
              </w:rPr>
            </w:pPr>
            <w:r>
              <w:rPr>
                <w:rFonts w:hint="eastAsia" w:eastAsia="Times New Roman"/>
                <w:spacing w:val="-1"/>
                <w:kern w:val="0"/>
                <w:sz w:val="21"/>
                <w:szCs w:val="21"/>
              </w:rPr>
              <w:t>0.3149</w:t>
            </w:r>
            <w:r>
              <w:rPr>
                <w:rFonts w:eastAsia="Times New Roman"/>
                <w:spacing w:val="-1"/>
                <w:kern w:val="0"/>
                <w:sz w:val="21"/>
                <w:szCs w:val="21"/>
              </w:rPr>
              <w:t>t/a</w:t>
            </w:r>
          </w:p>
        </w:tc>
        <w:tc>
          <w:tcPr>
            <w:tcW w:w="1317" w:type="dxa"/>
            <w:vAlign w:val="center"/>
          </w:tcPr>
          <w:p w14:paraId="2B5F1156">
            <w:pPr>
              <w:adjustRightInd w:val="0"/>
              <w:snapToGrid w:val="0"/>
              <w:spacing w:line="240" w:lineRule="auto"/>
              <w:ind w:firstLine="0" w:firstLineChars="0"/>
              <w:jc w:val="center"/>
              <w:rPr>
                <w:kern w:val="0"/>
                <w:sz w:val="21"/>
                <w:szCs w:val="21"/>
              </w:rPr>
            </w:pPr>
            <w:r>
              <w:rPr>
                <w:rFonts w:hint="eastAsia"/>
                <w:snapToGrid w:val="0"/>
                <w:kern w:val="21"/>
                <w:sz w:val="21"/>
                <w:szCs w:val="21"/>
              </w:rPr>
              <w:t>+</w:t>
            </w:r>
            <w:r>
              <w:rPr>
                <w:rFonts w:hint="eastAsia" w:eastAsia="Times New Roman"/>
                <w:spacing w:val="-1"/>
                <w:kern w:val="0"/>
                <w:sz w:val="21"/>
                <w:szCs w:val="21"/>
              </w:rPr>
              <w:t>0.3149</w:t>
            </w:r>
            <w:r>
              <w:rPr>
                <w:rFonts w:eastAsia="Times New Roman"/>
                <w:spacing w:val="-1"/>
                <w:kern w:val="0"/>
                <w:sz w:val="21"/>
                <w:szCs w:val="21"/>
              </w:rPr>
              <w:t>t/a</w:t>
            </w:r>
          </w:p>
        </w:tc>
      </w:tr>
      <w:tr w14:paraId="5D2309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290" w:type="dxa"/>
            <w:vMerge w:val="restart"/>
            <w:vAlign w:val="center"/>
          </w:tcPr>
          <w:p w14:paraId="695FE463">
            <w:pPr>
              <w:adjustRightInd w:val="0"/>
              <w:snapToGrid w:val="0"/>
              <w:spacing w:line="240" w:lineRule="auto"/>
              <w:ind w:firstLine="0" w:firstLineChars="0"/>
              <w:jc w:val="center"/>
              <w:rPr>
                <w:snapToGrid w:val="0"/>
                <w:kern w:val="21"/>
                <w:sz w:val="21"/>
                <w:szCs w:val="21"/>
              </w:rPr>
            </w:pPr>
            <w:r>
              <w:rPr>
                <w:snapToGrid w:val="0"/>
                <w:kern w:val="21"/>
                <w:sz w:val="21"/>
                <w:szCs w:val="21"/>
              </w:rPr>
              <w:t>废水</w:t>
            </w:r>
          </w:p>
        </w:tc>
        <w:tc>
          <w:tcPr>
            <w:tcW w:w="1834" w:type="dxa"/>
            <w:vAlign w:val="center"/>
          </w:tcPr>
          <w:p w14:paraId="1A9908FB">
            <w:pPr>
              <w:spacing w:line="340" w:lineRule="exact"/>
              <w:ind w:firstLine="0" w:firstLineChars="0"/>
              <w:jc w:val="center"/>
              <w:rPr>
                <w:sz w:val="21"/>
                <w:szCs w:val="21"/>
                <w:lang w:bidi="ar"/>
              </w:rPr>
            </w:pPr>
            <w:r>
              <w:rPr>
                <w:rFonts w:hint="eastAsia"/>
                <w:sz w:val="21"/>
                <w:szCs w:val="21"/>
                <w:lang w:bidi="ar"/>
              </w:rPr>
              <w:t>COD</w:t>
            </w:r>
          </w:p>
        </w:tc>
        <w:tc>
          <w:tcPr>
            <w:tcW w:w="1582" w:type="dxa"/>
            <w:vAlign w:val="center"/>
          </w:tcPr>
          <w:p w14:paraId="098E8C81">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276" w:type="dxa"/>
            <w:vAlign w:val="center"/>
          </w:tcPr>
          <w:p w14:paraId="0A1B5E5B">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02" w:type="dxa"/>
            <w:vAlign w:val="center"/>
          </w:tcPr>
          <w:p w14:paraId="39084D90">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560" w:type="dxa"/>
            <w:vAlign w:val="center"/>
          </w:tcPr>
          <w:p w14:paraId="3F89AE4C">
            <w:pPr>
              <w:adjustRightInd w:val="0"/>
              <w:snapToGrid w:val="0"/>
              <w:spacing w:line="240" w:lineRule="auto"/>
              <w:ind w:firstLine="0" w:firstLineChars="0"/>
              <w:jc w:val="center"/>
              <w:rPr>
                <w:snapToGrid w:val="0"/>
                <w:kern w:val="21"/>
                <w:sz w:val="21"/>
                <w:szCs w:val="21"/>
              </w:rPr>
            </w:pPr>
            <w:r>
              <w:rPr>
                <w:rFonts w:hint="eastAsia"/>
                <w:sz w:val="21"/>
              </w:rPr>
              <w:t>0.0321</w:t>
            </w:r>
            <w:r>
              <w:rPr>
                <w:rFonts w:eastAsia="Times New Roman"/>
                <w:spacing w:val="-1"/>
                <w:kern w:val="0"/>
                <w:sz w:val="21"/>
                <w:szCs w:val="21"/>
              </w:rPr>
              <w:t>t/a</w:t>
            </w:r>
          </w:p>
        </w:tc>
        <w:tc>
          <w:tcPr>
            <w:tcW w:w="1444" w:type="dxa"/>
            <w:vAlign w:val="center"/>
          </w:tcPr>
          <w:p w14:paraId="4DD0FCEC">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90" w:type="dxa"/>
            <w:shd w:val="clear" w:color="auto" w:fill="auto"/>
            <w:vAlign w:val="center"/>
          </w:tcPr>
          <w:p w14:paraId="60E3C98A">
            <w:pPr>
              <w:adjustRightInd w:val="0"/>
              <w:snapToGrid w:val="0"/>
              <w:spacing w:line="240" w:lineRule="auto"/>
              <w:ind w:firstLine="0" w:firstLineChars="0"/>
              <w:jc w:val="center"/>
              <w:rPr>
                <w:snapToGrid w:val="0"/>
                <w:kern w:val="21"/>
                <w:sz w:val="21"/>
                <w:szCs w:val="21"/>
              </w:rPr>
            </w:pPr>
            <w:r>
              <w:rPr>
                <w:rFonts w:hint="eastAsia"/>
                <w:sz w:val="21"/>
              </w:rPr>
              <w:t>0.0321</w:t>
            </w:r>
            <w:r>
              <w:rPr>
                <w:rFonts w:eastAsia="Times New Roman"/>
                <w:spacing w:val="-1"/>
                <w:kern w:val="0"/>
                <w:sz w:val="21"/>
                <w:szCs w:val="21"/>
              </w:rPr>
              <w:t>t/a</w:t>
            </w:r>
          </w:p>
        </w:tc>
        <w:tc>
          <w:tcPr>
            <w:tcW w:w="1317" w:type="dxa"/>
            <w:shd w:val="clear" w:color="auto" w:fill="auto"/>
            <w:vAlign w:val="center"/>
          </w:tcPr>
          <w:p w14:paraId="5F24F294">
            <w:pPr>
              <w:adjustRightInd w:val="0"/>
              <w:snapToGrid w:val="0"/>
              <w:spacing w:line="240" w:lineRule="auto"/>
              <w:ind w:firstLine="0" w:firstLineChars="0"/>
              <w:jc w:val="center"/>
              <w:rPr>
                <w:snapToGrid w:val="0"/>
                <w:kern w:val="21"/>
                <w:sz w:val="21"/>
                <w:szCs w:val="21"/>
              </w:rPr>
            </w:pPr>
            <w:r>
              <w:rPr>
                <w:rFonts w:hint="eastAsia"/>
                <w:sz w:val="21"/>
              </w:rPr>
              <w:t>+0.0321</w:t>
            </w:r>
            <w:r>
              <w:rPr>
                <w:rFonts w:eastAsia="Times New Roman"/>
                <w:spacing w:val="-1"/>
                <w:kern w:val="0"/>
                <w:sz w:val="21"/>
                <w:szCs w:val="21"/>
              </w:rPr>
              <w:t>t/a</w:t>
            </w:r>
          </w:p>
        </w:tc>
      </w:tr>
      <w:tr w14:paraId="0AFE65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290" w:type="dxa"/>
            <w:vMerge w:val="continue"/>
            <w:vAlign w:val="center"/>
          </w:tcPr>
          <w:p w14:paraId="6673AC6E">
            <w:pPr>
              <w:adjustRightInd w:val="0"/>
              <w:snapToGrid w:val="0"/>
              <w:spacing w:line="240" w:lineRule="auto"/>
              <w:ind w:firstLine="0" w:firstLineChars="0"/>
              <w:jc w:val="center"/>
              <w:rPr>
                <w:snapToGrid w:val="0"/>
                <w:kern w:val="21"/>
                <w:sz w:val="21"/>
                <w:szCs w:val="21"/>
              </w:rPr>
            </w:pPr>
          </w:p>
        </w:tc>
        <w:tc>
          <w:tcPr>
            <w:tcW w:w="1834" w:type="dxa"/>
            <w:vAlign w:val="center"/>
          </w:tcPr>
          <w:p w14:paraId="25CFFE2F">
            <w:pPr>
              <w:spacing w:line="340" w:lineRule="exact"/>
              <w:ind w:firstLine="0" w:firstLineChars="0"/>
              <w:jc w:val="center"/>
              <w:rPr>
                <w:sz w:val="21"/>
                <w:szCs w:val="21"/>
                <w:lang w:bidi="ar"/>
              </w:rPr>
            </w:pPr>
            <w:r>
              <w:rPr>
                <w:rFonts w:hint="eastAsia"/>
                <w:sz w:val="21"/>
                <w:szCs w:val="21"/>
                <w:lang w:bidi="ar"/>
              </w:rPr>
              <w:t>BOD</w:t>
            </w:r>
            <w:r>
              <w:rPr>
                <w:rFonts w:hint="eastAsia"/>
                <w:sz w:val="21"/>
                <w:szCs w:val="21"/>
                <w:vertAlign w:val="subscript"/>
                <w:lang w:bidi="ar"/>
              </w:rPr>
              <w:t>5</w:t>
            </w:r>
          </w:p>
        </w:tc>
        <w:tc>
          <w:tcPr>
            <w:tcW w:w="1582" w:type="dxa"/>
            <w:vAlign w:val="center"/>
          </w:tcPr>
          <w:p w14:paraId="2D01CEE8">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276" w:type="dxa"/>
            <w:vAlign w:val="center"/>
          </w:tcPr>
          <w:p w14:paraId="01EC3566">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02" w:type="dxa"/>
            <w:vAlign w:val="center"/>
          </w:tcPr>
          <w:p w14:paraId="5EECCFBE">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560" w:type="dxa"/>
            <w:vAlign w:val="center"/>
          </w:tcPr>
          <w:p w14:paraId="36AF45B0">
            <w:pPr>
              <w:adjustRightInd w:val="0"/>
              <w:snapToGrid w:val="0"/>
              <w:spacing w:line="240" w:lineRule="auto"/>
              <w:ind w:firstLine="0" w:firstLineChars="0"/>
              <w:jc w:val="center"/>
              <w:rPr>
                <w:snapToGrid w:val="0"/>
                <w:kern w:val="21"/>
                <w:sz w:val="21"/>
                <w:szCs w:val="21"/>
              </w:rPr>
            </w:pPr>
            <w:r>
              <w:rPr>
                <w:rFonts w:hint="eastAsia"/>
                <w:sz w:val="21"/>
              </w:rPr>
              <w:t>0.0189</w:t>
            </w:r>
            <w:r>
              <w:rPr>
                <w:rFonts w:eastAsia="Times New Roman"/>
                <w:spacing w:val="-1"/>
                <w:kern w:val="0"/>
                <w:sz w:val="21"/>
                <w:szCs w:val="21"/>
              </w:rPr>
              <w:t>t/a</w:t>
            </w:r>
          </w:p>
        </w:tc>
        <w:tc>
          <w:tcPr>
            <w:tcW w:w="1444" w:type="dxa"/>
            <w:vAlign w:val="center"/>
          </w:tcPr>
          <w:p w14:paraId="01DBA9EB">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90" w:type="dxa"/>
            <w:shd w:val="clear" w:color="auto" w:fill="auto"/>
            <w:vAlign w:val="center"/>
          </w:tcPr>
          <w:p w14:paraId="6840715E">
            <w:pPr>
              <w:adjustRightInd w:val="0"/>
              <w:snapToGrid w:val="0"/>
              <w:spacing w:line="240" w:lineRule="auto"/>
              <w:ind w:firstLine="0" w:firstLineChars="0"/>
              <w:jc w:val="center"/>
              <w:rPr>
                <w:snapToGrid w:val="0"/>
                <w:kern w:val="21"/>
                <w:sz w:val="21"/>
                <w:szCs w:val="21"/>
              </w:rPr>
            </w:pPr>
            <w:r>
              <w:rPr>
                <w:rFonts w:hint="eastAsia"/>
                <w:sz w:val="21"/>
              </w:rPr>
              <w:t>0.0189</w:t>
            </w:r>
            <w:r>
              <w:rPr>
                <w:rFonts w:eastAsia="Times New Roman"/>
                <w:spacing w:val="-1"/>
                <w:kern w:val="0"/>
                <w:sz w:val="21"/>
                <w:szCs w:val="21"/>
              </w:rPr>
              <w:t>t/a</w:t>
            </w:r>
          </w:p>
        </w:tc>
        <w:tc>
          <w:tcPr>
            <w:tcW w:w="1317" w:type="dxa"/>
            <w:shd w:val="clear" w:color="auto" w:fill="auto"/>
            <w:vAlign w:val="center"/>
          </w:tcPr>
          <w:p w14:paraId="6661361F">
            <w:pPr>
              <w:adjustRightInd w:val="0"/>
              <w:snapToGrid w:val="0"/>
              <w:spacing w:line="240" w:lineRule="auto"/>
              <w:ind w:firstLine="0" w:firstLineChars="0"/>
              <w:jc w:val="center"/>
              <w:rPr>
                <w:snapToGrid w:val="0"/>
                <w:kern w:val="21"/>
                <w:sz w:val="21"/>
                <w:szCs w:val="21"/>
              </w:rPr>
            </w:pPr>
            <w:r>
              <w:rPr>
                <w:rFonts w:hint="eastAsia"/>
                <w:sz w:val="21"/>
              </w:rPr>
              <w:t>+0.0189</w:t>
            </w:r>
            <w:r>
              <w:rPr>
                <w:rFonts w:eastAsia="Times New Roman"/>
                <w:spacing w:val="-1"/>
                <w:kern w:val="0"/>
                <w:sz w:val="21"/>
                <w:szCs w:val="21"/>
              </w:rPr>
              <w:t>t/a</w:t>
            </w:r>
          </w:p>
        </w:tc>
      </w:tr>
      <w:tr w14:paraId="2713E6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290" w:type="dxa"/>
            <w:vMerge w:val="continue"/>
            <w:vAlign w:val="center"/>
          </w:tcPr>
          <w:p w14:paraId="36490578">
            <w:pPr>
              <w:adjustRightInd w:val="0"/>
              <w:snapToGrid w:val="0"/>
              <w:spacing w:line="240" w:lineRule="auto"/>
              <w:ind w:firstLine="0" w:firstLineChars="0"/>
              <w:jc w:val="center"/>
              <w:rPr>
                <w:snapToGrid w:val="0"/>
                <w:kern w:val="21"/>
                <w:sz w:val="21"/>
                <w:szCs w:val="21"/>
              </w:rPr>
            </w:pPr>
          </w:p>
        </w:tc>
        <w:tc>
          <w:tcPr>
            <w:tcW w:w="1834" w:type="dxa"/>
            <w:vAlign w:val="center"/>
          </w:tcPr>
          <w:p w14:paraId="14CD49E9">
            <w:pPr>
              <w:spacing w:line="340" w:lineRule="exact"/>
              <w:ind w:firstLine="0" w:firstLineChars="0"/>
              <w:jc w:val="center"/>
              <w:rPr>
                <w:sz w:val="21"/>
                <w:szCs w:val="21"/>
                <w:lang w:bidi="ar"/>
              </w:rPr>
            </w:pPr>
            <w:r>
              <w:rPr>
                <w:rFonts w:hint="eastAsia"/>
                <w:sz w:val="21"/>
                <w:szCs w:val="21"/>
                <w:lang w:bidi="ar"/>
              </w:rPr>
              <w:t>SS</w:t>
            </w:r>
          </w:p>
        </w:tc>
        <w:tc>
          <w:tcPr>
            <w:tcW w:w="1582" w:type="dxa"/>
            <w:vAlign w:val="center"/>
          </w:tcPr>
          <w:p w14:paraId="5C57B41B">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276" w:type="dxa"/>
            <w:vAlign w:val="center"/>
          </w:tcPr>
          <w:p w14:paraId="3AE21D98">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02" w:type="dxa"/>
            <w:vAlign w:val="center"/>
          </w:tcPr>
          <w:p w14:paraId="35B05120">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560" w:type="dxa"/>
            <w:vAlign w:val="center"/>
          </w:tcPr>
          <w:p w14:paraId="360B9E43">
            <w:pPr>
              <w:adjustRightInd w:val="0"/>
              <w:snapToGrid w:val="0"/>
              <w:spacing w:line="240" w:lineRule="auto"/>
              <w:ind w:firstLine="0" w:firstLineChars="0"/>
              <w:jc w:val="center"/>
              <w:rPr>
                <w:snapToGrid w:val="0"/>
                <w:kern w:val="21"/>
                <w:sz w:val="21"/>
                <w:szCs w:val="21"/>
              </w:rPr>
            </w:pPr>
            <w:r>
              <w:rPr>
                <w:rFonts w:hint="eastAsia"/>
                <w:sz w:val="21"/>
              </w:rPr>
              <w:t>0.0132</w:t>
            </w:r>
            <w:r>
              <w:rPr>
                <w:rFonts w:eastAsia="Times New Roman"/>
                <w:spacing w:val="-1"/>
                <w:kern w:val="0"/>
                <w:sz w:val="21"/>
                <w:szCs w:val="21"/>
              </w:rPr>
              <w:t>t/a</w:t>
            </w:r>
          </w:p>
        </w:tc>
        <w:tc>
          <w:tcPr>
            <w:tcW w:w="1444" w:type="dxa"/>
            <w:vAlign w:val="center"/>
          </w:tcPr>
          <w:p w14:paraId="640C9620">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90" w:type="dxa"/>
            <w:shd w:val="clear" w:color="auto" w:fill="auto"/>
            <w:vAlign w:val="center"/>
          </w:tcPr>
          <w:p w14:paraId="259B37CD">
            <w:pPr>
              <w:adjustRightInd w:val="0"/>
              <w:snapToGrid w:val="0"/>
              <w:spacing w:line="240" w:lineRule="auto"/>
              <w:ind w:firstLine="0" w:firstLineChars="0"/>
              <w:jc w:val="center"/>
              <w:rPr>
                <w:snapToGrid w:val="0"/>
                <w:kern w:val="21"/>
                <w:sz w:val="21"/>
                <w:szCs w:val="21"/>
              </w:rPr>
            </w:pPr>
            <w:r>
              <w:rPr>
                <w:rFonts w:hint="eastAsia"/>
                <w:sz w:val="21"/>
              </w:rPr>
              <w:t>0.0132</w:t>
            </w:r>
            <w:r>
              <w:rPr>
                <w:rFonts w:eastAsia="Times New Roman"/>
                <w:spacing w:val="-1"/>
                <w:kern w:val="0"/>
                <w:sz w:val="21"/>
                <w:szCs w:val="21"/>
              </w:rPr>
              <w:t>t/a</w:t>
            </w:r>
          </w:p>
        </w:tc>
        <w:tc>
          <w:tcPr>
            <w:tcW w:w="1317" w:type="dxa"/>
            <w:shd w:val="clear" w:color="auto" w:fill="auto"/>
            <w:vAlign w:val="center"/>
          </w:tcPr>
          <w:p w14:paraId="5058FD86">
            <w:pPr>
              <w:adjustRightInd w:val="0"/>
              <w:snapToGrid w:val="0"/>
              <w:spacing w:line="240" w:lineRule="auto"/>
              <w:ind w:firstLine="0" w:firstLineChars="0"/>
              <w:jc w:val="center"/>
              <w:rPr>
                <w:snapToGrid w:val="0"/>
                <w:kern w:val="21"/>
                <w:sz w:val="21"/>
                <w:szCs w:val="21"/>
              </w:rPr>
            </w:pPr>
            <w:r>
              <w:rPr>
                <w:rFonts w:hint="eastAsia"/>
                <w:sz w:val="21"/>
              </w:rPr>
              <w:t>+0.0132</w:t>
            </w:r>
            <w:r>
              <w:rPr>
                <w:rFonts w:eastAsia="Times New Roman"/>
                <w:spacing w:val="-1"/>
                <w:kern w:val="0"/>
                <w:sz w:val="21"/>
                <w:szCs w:val="21"/>
              </w:rPr>
              <w:t>t/a</w:t>
            </w:r>
          </w:p>
        </w:tc>
      </w:tr>
      <w:tr w14:paraId="63680F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290" w:type="dxa"/>
            <w:vMerge w:val="continue"/>
            <w:vAlign w:val="center"/>
          </w:tcPr>
          <w:p w14:paraId="33457F72">
            <w:pPr>
              <w:adjustRightInd w:val="0"/>
              <w:snapToGrid w:val="0"/>
              <w:spacing w:line="240" w:lineRule="auto"/>
              <w:ind w:firstLine="0" w:firstLineChars="0"/>
              <w:jc w:val="center"/>
              <w:rPr>
                <w:snapToGrid w:val="0"/>
                <w:kern w:val="21"/>
                <w:sz w:val="21"/>
                <w:szCs w:val="21"/>
              </w:rPr>
            </w:pPr>
          </w:p>
        </w:tc>
        <w:tc>
          <w:tcPr>
            <w:tcW w:w="1834" w:type="dxa"/>
            <w:vAlign w:val="center"/>
          </w:tcPr>
          <w:p w14:paraId="0046BD27">
            <w:pPr>
              <w:spacing w:line="340" w:lineRule="exact"/>
              <w:ind w:firstLine="0" w:firstLineChars="0"/>
              <w:jc w:val="center"/>
              <w:rPr>
                <w:sz w:val="21"/>
                <w:szCs w:val="21"/>
                <w:lang w:bidi="ar"/>
              </w:rPr>
            </w:pPr>
            <w:r>
              <w:rPr>
                <w:rFonts w:hint="eastAsia"/>
                <w:sz w:val="21"/>
                <w:szCs w:val="21"/>
                <w:lang w:bidi="ar"/>
              </w:rPr>
              <w:t>NH</w:t>
            </w:r>
            <w:r>
              <w:rPr>
                <w:rFonts w:hint="eastAsia"/>
                <w:sz w:val="21"/>
                <w:szCs w:val="21"/>
                <w:vertAlign w:val="subscript"/>
                <w:lang w:bidi="ar"/>
              </w:rPr>
              <w:t>3</w:t>
            </w:r>
            <w:r>
              <w:rPr>
                <w:rFonts w:hint="eastAsia"/>
                <w:sz w:val="21"/>
                <w:szCs w:val="21"/>
                <w:lang w:bidi="ar"/>
              </w:rPr>
              <w:t>-N</w:t>
            </w:r>
          </w:p>
        </w:tc>
        <w:tc>
          <w:tcPr>
            <w:tcW w:w="1582" w:type="dxa"/>
            <w:vAlign w:val="center"/>
          </w:tcPr>
          <w:p w14:paraId="7AFD5292">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276" w:type="dxa"/>
            <w:vAlign w:val="center"/>
          </w:tcPr>
          <w:p w14:paraId="1D0C7E24">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02" w:type="dxa"/>
            <w:vAlign w:val="center"/>
          </w:tcPr>
          <w:p w14:paraId="7561D902">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560" w:type="dxa"/>
            <w:vAlign w:val="center"/>
          </w:tcPr>
          <w:p w14:paraId="7BE009AE">
            <w:pPr>
              <w:adjustRightInd w:val="0"/>
              <w:snapToGrid w:val="0"/>
              <w:spacing w:line="240" w:lineRule="auto"/>
              <w:ind w:firstLine="0" w:firstLineChars="0"/>
              <w:jc w:val="center"/>
              <w:rPr>
                <w:snapToGrid w:val="0"/>
                <w:kern w:val="21"/>
                <w:sz w:val="21"/>
                <w:szCs w:val="21"/>
              </w:rPr>
            </w:pPr>
            <w:r>
              <w:rPr>
                <w:rFonts w:hint="eastAsia"/>
                <w:sz w:val="21"/>
              </w:rPr>
              <w:t>0.0032</w:t>
            </w:r>
            <w:r>
              <w:rPr>
                <w:rFonts w:eastAsia="Times New Roman"/>
                <w:spacing w:val="-1"/>
                <w:kern w:val="0"/>
                <w:sz w:val="21"/>
                <w:szCs w:val="21"/>
              </w:rPr>
              <w:t>t/a</w:t>
            </w:r>
          </w:p>
        </w:tc>
        <w:tc>
          <w:tcPr>
            <w:tcW w:w="1444" w:type="dxa"/>
            <w:vAlign w:val="center"/>
          </w:tcPr>
          <w:p w14:paraId="78E766E2">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90" w:type="dxa"/>
            <w:shd w:val="clear" w:color="auto" w:fill="auto"/>
            <w:vAlign w:val="center"/>
          </w:tcPr>
          <w:p w14:paraId="16DB6B57">
            <w:pPr>
              <w:adjustRightInd w:val="0"/>
              <w:snapToGrid w:val="0"/>
              <w:spacing w:line="240" w:lineRule="auto"/>
              <w:ind w:firstLine="0" w:firstLineChars="0"/>
              <w:jc w:val="center"/>
              <w:rPr>
                <w:snapToGrid w:val="0"/>
                <w:kern w:val="21"/>
                <w:sz w:val="21"/>
                <w:szCs w:val="21"/>
              </w:rPr>
            </w:pPr>
            <w:r>
              <w:rPr>
                <w:rFonts w:hint="eastAsia"/>
                <w:sz w:val="21"/>
              </w:rPr>
              <w:t>0.0032</w:t>
            </w:r>
            <w:r>
              <w:rPr>
                <w:rFonts w:eastAsia="Times New Roman"/>
                <w:spacing w:val="-1"/>
                <w:kern w:val="0"/>
                <w:sz w:val="21"/>
                <w:szCs w:val="21"/>
              </w:rPr>
              <w:t>t/a</w:t>
            </w:r>
          </w:p>
        </w:tc>
        <w:tc>
          <w:tcPr>
            <w:tcW w:w="1317" w:type="dxa"/>
            <w:shd w:val="clear" w:color="auto" w:fill="auto"/>
            <w:vAlign w:val="center"/>
          </w:tcPr>
          <w:p w14:paraId="12E7E08E">
            <w:pPr>
              <w:adjustRightInd w:val="0"/>
              <w:snapToGrid w:val="0"/>
              <w:spacing w:line="240" w:lineRule="auto"/>
              <w:ind w:firstLine="0" w:firstLineChars="0"/>
              <w:jc w:val="center"/>
              <w:rPr>
                <w:snapToGrid w:val="0"/>
                <w:kern w:val="21"/>
                <w:sz w:val="21"/>
                <w:szCs w:val="21"/>
              </w:rPr>
            </w:pPr>
            <w:r>
              <w:rPr>
                <w:rFonts w:hint="eastAsia"/>
                <w:sz w:val="21"/>
              </w:rPr>
              <w:t>+0.0032</w:t>
            </w:r>
            <w:r>
              <w:rPr>
                <w:rFonts w:eastAsia="Times New Roman"/>
                <w:spacing w:val="-1"/>
                <w:kern w:val="0"/>
                <w:sz w:val="21"/>
                <w:szCs w:val="21"/>
              </w:rPr>
              <w:t>t/a</w:t>
            </w:r>
          </w:p>
        </w:tc>
      </w:tr>
      <w:tr w14:paraId="04A5E1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290" w:type="dxa"/>
            <w:vMerge w:val="restart"/>
            <w:vAlign w:val="center"/>
          </w:tcPr>
          <w:p w14:paraId="74284FA5">
            <w:pPr>
              <w:adjustRightInd w:val="0"/>
              <w:snapToGrid w:val="0"/>
              <w:spacing w:line="240" w:lineRule="auto"/>
              <w:ind w:firstLine="0" w:firstLineChars="0"/>
              <w:jc w:val="center"/>
              <w:rPr>
                <w:snapToGrid w:val="0"/>
                <w:kern w:val="21"/>
                <w:sz w:val="21"/>
                <w:szCs w:val="21"/>
              </w:rPr>
            </w:pPr>
            <w:r>
              <w:rPr>
                <w:snapToGrid w:val="0"/>
                <w:kern w:val="21"/>
                <w:sz w:val="21"/>
                <w:szCs w:val="21"/>
              </w:rPr>
              <w:t>一般工业固体废物</w:t>
            </w:r>
          </w:p>
        </w:tc>
        <w:tc>
          <w:tcPr>
            <w:tcW w:w="1834" w:type="dxa"/>
            <w:vAlign w:val="center"/>
          </w:tcPr>
          <w:p w14:paraId="1E36148D">
            <w:pPr>
              <w:spacing w:line="340" w:lineRule="exact"/>
              <w:ind w:firstLine="0" w:firstLineChars="0"/>
              <w:jc w:val="center"/>
              <w:rPr>
                <w:sz w:val="21"/>
                <w:szCs w:val="21"/>
                <w:lang w:eastAsia="en-US" w:bidi="ar"/>
              </w:rPr>
            </w:pPr>
            <w:r>
              <w:rPr>
                <w:rFonts w:hint="eastAsia"/>
                <w:sz w:val="21"/>
                <w:szCs w:val="21"/>
                <w:lang w:bidi="ar"/>
              </w:rPr>
              <w:t>废包装袋</w:t>
            </w:r>
          </w:p>
        </w:tc>
        <w:tc>
          <w:tcPr>
            <w:tcW w:w="1582" w:type="dxa"/>
            <w:vAlign w:val="center"/>
          </w:tcPr>
          <w:p w14:paraId="13313000">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276" w:type="dxa"/>
            <w:vAlign w:val="center"/>
          </w:tcPr>
          <w:p w14:paraId="355C5C4D">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02" w:type="dxa"/>
            <w:vAlign w:val="center"/>
          </w:tcPr>
          <w:p w14:paraId="0425E7C1">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560" w:type="dxa"/>
            <w:vAlign w:val="center"/>
          </w:tcPr>
          <w:p w14:paraId="44379F20">
            <w:pPr>
              <w:adjustRightInd w:val="0"/>
              <w:snapToGrid w:val="0"/>
              <w:spacing w:line="240" w:lineRule="auto"/>
              <w:ind w:firstLine="0" w:firstLineChars="0"/>
              <w:jc w:val="center"/>
              <w:rPr>
                <w:snapToGrid w:val="0"/>
                <w:kern w:val="21"/>
                <w:sz w:val="21"/>
                <w:szCs w:val="21"/>
              </w:rPr>
            </w:pPr>
            <w:r>
              <w:rPr>
                <w:rFonts w:hint="eastAsia"/>
                <w:kern w:val="0"/>
                <w:sz w:val="21"/>
                <w:szCs w:val="21"/>
                <w:lang w:bidi="ar"/>
              </w:rPr>
              <w:t>0.8</w:t>
            </w:r>
            <w:r>
              <w:rPr>
                <w:rFonts w:eastAsia="Times New Roman"/>
                <w:spacing w:val="-1"/>
                <w:kern w:val="0"/>
                <w:sz w:val="21"/>
                <w:szCs w:val="21"/>
              </w:rPr>
              <w:t>t/a</w:t>
            </w:r>
          </w:p>
        </w:tc>
        <w:tc>
          <w:tcPr>
            <w:tcW w:w="1444" w:type="dxa"/>
            <w:vAlign w:val="center"/>
          </w:tcPr>
          <w:p w14:paraId="253EAC6E">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90" w:type="dxa"/>
            <w:vAlign w:val="center"/>
          </w:tcPr>
          <w:p w14:paraId="6DEBE0D6">
            <w:pPr>
              <w:adjustRightInd w:val="0"/>
              <w:snapToGrid w:val="0"/>
              <w:spacing w:line="240" w:lineRule="auto"/>
              <w:ind w:firstLine="0" w:firstLineChars="0"/>
              <w:jc w:val="center"/>
              <w:rPr>
                <w:snapToGrid w:val="0"/>
                <w:kern w:val="21"/>
                <w:sz w:val="21"/>
                <w:szCs w:val="21"/>
              </w:rPr>
            </w:pPr>
            <w:r>
              <w:rPr>
                <w:rFonts w:hint="eastAsia"/>
                <w:kern w:val="0"/>
                <w:sz w:val="21"/>
                <w:szCs w:val="21"/>
                <w:lang w:bidi="ar"/>
              </w:rPr>
              <w:t>0.8</w:t>
            </w:r>
            <w:r>
              <w:rPr>
                <w:rFonts w:eastAsia="Times New Roman"/>
                <w:spacing w:val="-1"/>
                <w:kern w:val="0"/>
                <w:sz w:val="21"/>
                <w:szCs w:val="21"/>
              </w:rPr>
              <w:t>t/a</w:t>
            </w:r>
          </w:p>
        </w:tc>
        <w:tc>
          <w:tcPr>
            <w:tcW w:w="1317" w:type="dxa"/>
            <w:vAlign w:val="center"/>
          </w:tcPr>
          <w:p w14:paraId="2186BA92">
            <w:pPr>
              <w:adjustRightInd w:val="0"/>
              <w:snapToGrid w:val="0"/>
              <w:spacing w:line="240" w:lineRule="auto"/>
              <w:ind w:firstLine="0" w:firstLineChars="0"/>
              <w:jc w:val="center"/>
              <w:rPr>
                <w:snapToGrid w:val="0"/>
                <w:kern w:val="21"/>
                <w:sz w:val="21"/>
                <w:szCs w:val="21"/>
              </w:rPr>
            </w:pPr>
            <w:r>
              <w:rPr>
                <w:rFonts w:hint="eastAsia"/>
                <w:kern w:val="0"/>
                <w:sz w:val="21"/>
                <w:szCs w:val="21"/>
                <w:lang w:bidi="ar"/>
              </w:rPr>
              <w:t>+0.8</w:t>
            </w:r>
            <w:r>
              <w:rPr>
                <w:rFonts w:eastAsia="Times New Roman"/>
                <w:spacing w:val="-1"/>
                <w:kern w:val="0"/>
                <w:sz w:val="21"/>
                <w:szCs w:val="21"/>
              </w:rPr>
              <w:t>t/a</w:t>
            </w:r>
          </w:p>
        </w:tc>
      </w:tr>
      <w:tr w14:paraId="6A314D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290" w:type="dxa"/>
            <w:vMerge w:val="continue"/>
            <w:vAlign w:val="center"/>
          </w:tcPr>
          <w:p w14:paraId="2C8EF471">
            <w:pPr>
              <w:adjustRightInd w:val="0"/>
              <w:snapToGrid w:val="0"/>
              <w:spacing w:line="240" w:lineRule="auto"/>
              <w:ind w:firstLine="0" w:firstLineChars="0"/>
              <w:jc w:val="center"/>
              <w:rPr>
                <w:snapToGrid w:val="0"/>
                <w:kern w:val="21"/>
                <w:sz w:val="21"/>
                <w:szCs w:val="21"/>
              </w:rPr>
            </w:pPr>
          </w:p>
        </w:tc>
        <w:tc>
          <w:tcPr>
            <w:tcW w:w="1834" w:type="dxa"/>
            <w:vAlign w:val="center"/>
          </w:tcPr>
          <w:p w14:paraId="6E11C016">
            <w:pPr>
              <w:spacing w:line="340" w:lineRule="exact"/>
              <w:ind w:firstLine="0" w:firstLineChars="0"/>
              <w:jc w:val="center"/>
              <w:rPr>
                <w:sz w:val="21"/>
                <w:szCs w:val="21"/>
                <w:lang w:eastAsia="en-US" w:bidi="ar"/>
              </w:rPr>
            </w:pPr>
            <w:r>
              <w:rPr>
                <w:rFonts w:hint="eastAsia"/>
                <w:sz w:val="21"/>
                <w:szCs w:val="21"/>
                <w:lang w:bidi="ar"/>
              </w:rPr>
              <w:t>捕集粉尘</w:t>
            </w:r>
          </w:p>
        </w:tc>
        <w:tc>
          <w:tcPr>
            <w:tcW w:w="1582" w:type="dxa"/>
            <w:vAlign w:val="center"/>
          </w:tcPr>
          <w:p w14:paraId="685A7A43">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276" w:type="dxa"/>
            <w:vAlign w:val="center"/>
          </w:tcPr>
          <w:p w14:paraId="4F1EE284">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02" w:type="dxa"/>
            <w:vAlign w:val="center"/>
          </w:tcPr>
          <w:p w14:paraId="4F6F3491">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560" w:type="dxa"/>
            <w:vAlign w:val="center"/>
          </w:tcPr>
          <w:p w14:paraId="463B9F29">
            <w:pPr>
              <w:adjustRightInd w:val="0"/>
              <w:snapToGrid w:val="0"/>
              <w:spacing w:line="240" w:lineRule="auto"/>
              <w:ind w:firstLine="0" w:firstLineChars="0"/>
              <w:jc w:val="center"/>
              <w:rPr>
                <w:snapToGrid w:val="0"/>
                <w:kern w:val="21"/>
                <w:sz w:val="21"/>
                <w:szCs w:val="21"/>
              </w:rPr>
            </w:pPr>
            <w:r>
              <w:rPr>
                <w:rFonts w:hint="eastAsia"/>
                <w:spacing w:val="-1"/>
                <w:kern w:val="0"/>
                <w:sz w:val="21"/>
                <w:szCs w:val="21"/>
              </w:rPr>
              <w:t>9.385</w:t>
            </w:r>
            <w:r>
              <w:rPr>
                <w:rFonts w:eastAsia="Times New Roman"/>
                <w:spacing w:val="-1"/>
                <w:kern w:val="0"/>
                <w:sz w:val="21"/>
                <w:szCs w:val="21"/>
              </w:rPr>
              <w:t>t/a</w:t>
            </w:r>
          </w:p>
        </w:tc>
        <w:tc>
          <w:tcPr>
            <w:tcW w:w="1444" w:type="dxa"/>
            <w:vAlign w:val="center"/>
          </w:tcPr>
          <w:p w14:paraId="3F004CAE">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90" w:type="dxa"/>
            <w:vAlign w:val="center"/>
          </w:tcPr>
          <w:p w14:paraId="48323A8F">
            <w:pPr>
              <w:adjustRightInd w:val="0"/>
              <w:snapToGrid w:val="0"/>
              <w:spacing w:line="240" w:lineRule="auto"/>
              <w:ind w:firstLine="0" w:firstLineChars="0"/>
              <w:jc w:val="center"/>
              <w:rPr>
                <w:snapToGrid w:val="0"/>
                <w:kern w:val="21"/>
                <w:sz w:val="21"/>
                <w:szCs w:val="21"/>
              </w:rPr>
            </w:pPr>
            <w:r>
              <w:rPr>
                <w:rFonts w:hint="eastAsia"/>
                <w:spacing w:val="-1"/>
                <w:kern w:val="0"/>
                <w:sz w:val="21"/>
                <w:szCs w:val="21"/>
              </w:rPr>
              <w:t>9.385</w:t>
            </w:r>
            <w:r>
              <w:rPr>
                <w:rFonts w:eastAsia="Times New Roman"/>
                <w:spacing w:val="-1"/>
                <w:kern w:val="0"/>
                <w:sz w:val="21"/>
                <w:szCs w:val="21"/>
              </w:rPr>
              <w:t>t/a</w:t>
            </w:r>
          </w:p>
        </w:tc>
        <w:tc>
          <w:tcPr>
            <w:tcW w:w="1317" w:type="dxa"/>
            <w:vAlign w:val="center"/>
          </w:tcPr>
          <w:p w14:paraId="2E743C6C">
            <w:pPr>
              <w:adjustRightInd w:val="0"/>
              <w:snapToGrid w:val="0"/>
              <w:spacing w:line="240" w:lineRule="auto"/>
              <w:ind w:firstLine="0" w:firstLineChars="0"/>
              <w:jc w:val="center"/>
              <w:rPr>
                <w:snapToGrid w:val="0"/>
                <w:kern w:val="21"/>
                <w:sz w:val="21"/>
                <w:szCs w:val="21"/>
              </w:rPr>
            </w:pPr>
            <w:r>
              <w:rPr>
                <w:rFonts w:hint="eastAsia"/>
                <w:spacing w:val="-1"/>
                <w:kern w:val="0"/>
                <w:sz w:val="21"/>
                <w:szCs w:val="21"/>
              </w:rPr>
              <w:t>+9.385</w:t>
            </w:r>
            <w:r>
              <w:rPr>
                <w:rFonts w:eastAsia="Times New Roman"/>
                <w:spacing w:val="-1"/>
                <w:kern w:val="0"/>
                <w:sz w:val="21"/>
                <w:szCs w:val="21"/>
              </w:rPr>
              <w:t>t/a</w:t>
            </w:r>
          </w:p>
        </w:tc>
      </w:tr>
      <w:tr w14:paraId="3544F4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290" w:type="dxa"/>
            <w:vAlign w:val="center"/>
          </w:tcPr>
          <w:p w14:paraId="42AD3F28">
            <w:pPr>
              <w:adjustRightInd w:val="0"/>
              <w:snapToGrid w:val="0"/>
              <w:spacing w:line="240" w:lineRule="auto"/>
              <w:ind w:firstLine="0" w:firstLineChars="0"/>
              <w:jc w:val="center"/>
              <w:rPr>
                <w:snapToGrid w:val="0"/>
                <w:kern w:val="21"/>
                <w:sz w:val="21"/>
                <w:szCs w:val="21"/>
              </w:rPr>
            </w:pPr>
            <w:r>
              <w:rPr>
                <w:snapToGrid w:val="0"/>
                <w:kern w:val="21"/>
                <w:sz w:val="21"/>
                <w:szCs w:val="21"/>
              </w:rPr>
              <w:t>生活垃圾</w:t>
            </w:r>
          </w:p>
        </w:tc>
        <w:tc>
          <w:tcPr>
            <w:tcW w:w="1834" w:type="dxa"/>
            <w:vAlign w:val="center"/>
          </w:tcPr>
          <w:p w14:paraId="53A67E81">
            <w:pPr>
              <w:adjustRightInd w:val="0"/>
              <w:snapToGrid w:val="0"/>
              <w:spacing w:line="240" w:lineRule="auto"/>
              <w:ind w:firstLine="0" w:firstLineChars="0"/>
              <w:jc w:val="center"/>
              <w:rPr>
                <w:kern w:val="0"/>
                <w:sz w:val="21"/>
                <w:szCs w:val="21"/>
                <w:lang w:bidi="ar"/>
              </w:rPr>
            </w:pPr>
            <w:r>
              <w:rPr>
                <w:snapToGrid w:val="0"/>
                <w:kern w:val="21"/>
                <w:sz w:val="21"/>
                <w:szCs w:val="21"/>
              </w:rPr>
              <w:t>生活垃圾</w:t>
            </w:r>
          </w:p>
        </w:tc>
        <w:tc>
          <w:tcPr>
            <w:tcW w:w="1582" w:type="dxa"/>
            <w:vAlign w:val="center"/>
          </w:tcPr>
          <w:p w14:paraId="27D7834D">
            <w:pPr>
              <w:adjustRightInd w:val="0"/>
              <w:snapToGrid w:val="0"/>
              <w:spacing w:line="240" w:lineRule="auto"/>
              <w:ind w:firstLine="0" w:firstLineChars="0"/>
              <w:jc w:val="center"/>
              <w:rPr>
                <w:snapToGrid w:val="0"/>
                <w:color w:val="FF0000"/>
                <w:kern w:val="21"/>
                <w:sz w:val="21"/>
                <w:szCs w:val="21"/>
              </w:rPr>
            </w:pPr>
            <w:r>
              <w:rPr>
                <w:rFonts w:hint="eastAsia"/>
                <w:snapToGrid w:val="0"/>
                <w:color w:val="FF0000"/>
                <w:kern w:val="21"/>
                <w:sz w:val="21"/>
                <w:szCs w:val="21"/>
              </w:rPr>
              <w:t>/</w:t>
            </w:r>
          </w:p>
        </w:tc>
        <w:tc>
          <w:tcPr>
            <w:tcW w:w="1276" w:type="dxa"/>
            <w:vAlign w:val="center"/>
          </w:tcPr>
          <w:p w14:paraId="21E766B0">
            <w:pPr>
              <w:adjustRightInd w:val="0"/>
              <w:snapToGrid w:val="0"/>
              <w:spacing w:line="240" w:lineRule="auto"/>
              <w:ind w:firstLine="0" w:firstLineChars="0"/>
              <w:jc w:val="center"/>
              <w:rPr>
                <w:snapToGrid w:val="0"/>
                <w:color w:val="FF0000"/>
                <w:kern w:val="21"/>
                <w:sz w:val="21"/>
                <w:szCs w:val="21"/>
              </w:rPr>
            </w:pPr>
            <w:r>
              <w:rPr>
                <w:rFonts w:hint="eastAsia"/>
                <w:snapToGrid w:val="0"/>
                <w:color w:val="FF0000"/>
                <w:kern w:val="21"/>
                <w:sz w:val="21"/>
                <w:szCs w:val="21"/>
              </w:rPr>
              <w:t>/</w:t>
            </w:r>
          </w:p>
        </w:tc>
        <w:tc>
          <w:tcPr>
            <w:tcW w:w="1702" w:type="dxa"/>
            <w:vAlign w:val="center"/>
          </w:tcPr>
          <w:p w14:paraId="66AD7959">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560" w:type="dxa"/>
            <w:vAlign w:val="center"/>
          </w:tcPr>
          <w:p w14:paraId="75B5AD87">
            <w:pPr>
              <w:adjustRightInd w:val="0"/>
              <w:snapToGrid w:val="0"/>
              <w:spacing w:line="240" w:lineRule="auto"/>
              <w:ind w:firstLine="0" w:firstLineChars="0"/>
              <w:jc w:val="center"/>
              <w:rPr>
                <w:snapToGrid w:val="0"/>
                <w:kern w:val="21"/>
                <w:sz w:val="21"/>
                <w:szCs w:val="21"/>
              </w:rPr>
            </w:pPr>
            <w:r>
              <w:rPr>
                <w:rFonts w:hint="eastAsia" w:eastAsia="Times New Roman"/>
                <w:spacing w:val="-1"/>
                <w:kern w:val="0"/>
                <w:sz w:val="21"/>
                <w:szCs w:val="21"/>
              </w:rPr>
              <w:t>1.</w:t>
            </w:r>
            <w:r>
              <w:rPr>
                <w:rFonts w:hint="eastAsia"/>
                <w:spacing w:val="-1"/>
                <w:kern w:val="0"/>
                <w:sz w:val="21"/>
                <w:szCs w:val="21"/>
              </w:rPr>
              <w:t>0</w:t>
            </w:r>
            <w:r>
              <w:rPr>
                <w:rFonts w:hint="eastAsia" w:eastAsia="Times New Roman"/>
                <w:spacing w:val="-1"/>
                <w:kern w:val="0"/>
                <w:sz w:val="21"/>
                <w:szCs w:val="21"/>
              </w:rPr>
              <w:t>5</w:t>
            </w:r>
            <w:r>
              <w:rPr>
                <w:rFonts w:eastAsia="Times New Roman"/>
                <w:spacing w:val="-1"/>
                <w:kern w:val="0"/>
                <w:sz w:val="21"/>
                <w:szCs w:val="21"/>
              </w:rPr>
              <w:t>t/a</w:t>
            </w:r>
          </w:p>
        </w:tc>
        <w:tc>
          <w:tcPr>
            <w:tcW w:w="1444" w:type="dxa"/>
            <w:vAlign w:val="center"/>
          </w:tcPr>
          <w:p w14:paraId="1B5D704A">
            <w:pPr>
              <w:adjustRightInd w:val="0"/>
              <w:snapToGrid w:val="0"/>
              <w:spacing w:line="240" w:lineRule="auto"/>
              <w:ind w:firstLine="0" w:firstLineChars="0"/>
              <w:jc w:val="center"/>
              <w:rPr>
                <w:snapToGrid w:val="0"/>
                <w:kern w:val="21"/>
                <w:sz w:val="21"/>
                <w:szCs w:val="21"/>
              </w:rPr>
            </w:pPr>
            <w:r>
              <w:rPr>
                <w:rFonts w:hint="eastAsia"/>
                <w:snapToGrid w:val="0"/>
                <w:kern w:val="21"/>
                <w:sz w:val="21"/>
                <w:szCs w:val="21"/>
              </w:rPr>
              <w:t>/</w:t>
            </w:r>
          </w:p>
        </w:tc>
        <w:tc>
          <w:tcPr>
            <w:tcW w:w="1790" w:type="dxa"/>
            <w:vAlign w:val="center"/>
          </w:tcPr>
          <w:p w14:paraId="1E5DB28E">
            <w:pPr>
              <w:adjustRightInd w:val="0"/>
              <w:snapToGrid w:val="0"/>
              <w:spacing w:line="240" w:lineRule="auto"/>
              <w:ind w:firstLine="0" w:firstLineChars="0"/>
              <w:jc w:val="center"/>
              <w:rPr>
                <w:snapToGrid w:val="0"/>
                <w:kern w:val="21"/>
                <w:sz w:val="21"/>
                <w:szCs w:val="21"/>
              </w:rPr>
            </w:pPr>
            <w:r>
              <w:rPr>
                <w:rFonts w:hint="eastAsia" w:eastAsia="Times New Roman"/>
                <w:spacing w:val="-1"/>
                <w:kern w:val="0"/>
                <w:sz w:val="21"/>
                <w:szCs w:val="21"/>
              </w:rPr>
              <w:t>1.</w:t>
            </w:r>
            <w:r>
              <w:rPr>
                <w:rFonts w:hint="eastAsia"/>
                <w:spacing w:val="-1"/>
                <w:kern w:val="0"/>
                <w:sz w:val="21"/>
                <w:szCs w:val="21"/>
              </w:rPr>
              <w:t>0</w:t>
            </w:r>
            <w:r>
              <w:rPr>
                <w:rFonts w:hint="eastAsia" w:eastAsia="Times New Roman"/>
                <w:spacing w:val="-1"/>
                <w:kern w:val="0"/>
                <w:sz w:val="21"/>
                <w:szCs w:val="21"/>
              </w:rPr>
              <w:t>5</w:t>
            </w:r>
            <w:r>
              <w:rPr>
                <w:rFonts w:eastAsia="Times New Roman"/>
                <w:spacing w:val="-1"/>
                <w:kern w:val="0"/>
                <w:sz w:val="21"/>
                <w:szCs w:val="21"/>
              </w:rPr>
              <w:t>t/a</w:t>
            </w:r>
          </w:p>
        </w:tc>
        <w:tc>
          <w:tcPr>
            <w:tcW w:w="1317" w:type="dxa"/>
            <w:vAlign w:val="center"/>
          </w:tcPr>
          <w:p w14:paraId="52CA4234">
            <w:pPr>
              <w:adjustRightInd w:val="0"/>
              <w:snapToGrid w:val="0"/>
              <w:spacing w:line="240" w:lineRule="auto"/>
              <w:ind w:firstLine="0" w:firstLineChars="0"/>
              <w:jc w:val="center"/>
              <w:rPr>
                <w:snapToGrid w:val="0"/>
                <w:kern w:val="21"/>
                <w:sz w:val="21"/>
                <w:szCs w:val="21"/>
              </w:rPr>
            </w:pPr>
            <w:r>
              <w:rPr>
                <w:rFonts w:hint="eastAsia"/>
                <w:spacing w:val="-1"/>
                <w:kern w:val="0"/>
                <w:sz w:val="21"/>
                <w:szCs w:val="21"/>
              </w:rPr>
              <w:t>+1.05</w:t>
            </w:r>
            <w:r>
              <w:rPr>
                <w:rFonts w:eastAsia="Times New Roman"/>
                <w:spacing w:val="-1"/>
                <w:kern w:val="0"/>
                <w:sz w:val="21"/>
                <w:szCs w:val="21"/>
              </w:rPr>
              <w:t>t/a</w:t>
            </w:r>
          </w:p>
        </w:tc>
      </w:tr>
    </w:tbl>
    <w:p w14:paraId="607B560E">
      <w:pPr>
        <w:ind w:firstLine="480"/>
        <w:rPr>
          <w:rFonts w:hint="default"/>
          <w:lang w:val="en-US" w:eastAsia="zh-CN"/>
        </w:rPr>
      </w:pPr>
      <w:r>
        <w:t>注：</w:t>
      </w:r>
      <w:r>
        <w:fldChar w:fldCharType="begin"/>
      </w:r>
      <w:r>
        <w:instrText xml:space="preserve"> = 6 \* GB3 \* MERGEFORMAT </w:instrText>
      </w:r>
      <w:r>
        <w:fldChar w:fldCharType="separate"/>
      </w:r>
      <w:r>
        <w:t>⑥</w:t>
      </w:r>
      <w:r>
        <w:fldChar w:fldCharType="end"/>
      </w:r>
      <w:r>
        <w:t>=</w:t>
      </w:r>
      <w:r>
        <w:fldChar w:fldCharType="begin"/>
      </w:r>
      <w:r>
        <w:instrText xml:space="preserve"> = 1 \* GB3 \* MERGEFORMAT </w:instrText>
      </w:r>
      <w:r>
        <w:fldChar w:fldCharType="separate"/>
      </w:r>
      <w:r>
        <w:t>①</w:t>
      </w:r>
      <w:r>
        <w:fldChar w:fldCharType="end"/>
      </w:r>
      <w:r>
        <w:t>+</w:t>
      </w:r>
      <w:r>
        <w:fldChar w:fldCharType="begin"/>
      </w:r>
      <w:r>
        <w:instrText xml:space="preserve"> = 3 \* GB3 \* MERGEFORMAT </w:instrText>
      </w:r>
      <w:r>
        <w:fldChar w:fldCharType="separate"/>
      </w:r>
      <w:r>
        <w:t>③</w:t>
      </w:r>
      <w:r>
        <w:fldChar w:fldCharType="end"/>
      </w:r>
      <w:r>
        <w:t>+</w:t>
      </w:r>
      <w:r>
        <w:fldChar w:fldCharType="begin"/>
      </w:r>
      <w:r>
        <w:instrText xml:space="preserve"> = 4 \* GB3 \* MERGEFORMAT </w:instrText>
      </w:r>
      <w:r>
        <w:fldChar w:fldCharType="separate"/>
      </w:r>
      <w:r>
        <w:t>④</w:t>
      </w:r>
      <w:r>
        <w:fldChar w:fldCharType="end"/>
      </w:r>
      <w:r>
        <w:t>-</w:t>
      </w:r>
      <w:r>
        <w:fldChar w:fldCharType="begin"/>
      </w:r>
      <w:r>
        <w:instrText xml:space="preserve"> = 5 \* GB3 \* MERGEFORMAT </w:instrText>
      </w:r>
      <w:r>
        <w:fldChar w:fldCharType="separate"/>
      </w:r>
      <w:r>
        <w:t>⑤</w:t>
      </w:r>
      <w:r>
        <w:fldChar w:fldCharType="end"/>
      </w:r>
      <w:r>
        <w:t>；</w:t>
      </w:r>
      <w:r>
        <w:fldChar w:fldCharType="begin"/>
      </w:r>
      <w:r>
        <w:instrText xml:space="preserve"> = 7 \* GB3 \* MERGEFORMAT </w:instrText>
      </w:r>
      <w:r>
        <w:fldChar w:fldCharType="separate"/>
      </w:r>
      <w:r>
        <w:t>⑦</w:t>
      </w:r>
      <w:r>
        <w:fldChar w:fldCharType="end"/>
      </w:r>
      <w:r>
        <w:t>=</w:t>
      </w:r>
      <w:r>
        <w:fldChar w:fldCharType="begin"/>
      </w:r>
      <w:r>
        <w:instrText xml:space="preserve"> = 6 \* GB3 \* MERGEFORMAT </w:instrText>
      </w:r>
      <w:r>
        <w:fldChar w:fldCharType="separate"/>
      </w:r>
      <w:r>
        <w:t>⑥</w:t>
      </w:r>
      <w:r>
        <w:fldChar w:fldCharType="end"/>
      </w:r>
      <w:r>
        <w:t>-</w:t>
      </w:r>
      <w:r>
        <w:fldChar w:fldCharType="begin"/>
      </w:r>
      <w:r>
        <w:instrText xml:space="preserve"> = 1 \* GB3 \* MERGEFORMAT </w:instrText>
      </w:r>
      <w:r>
        <w:fldChar w:fldCharType="separate"/>
      </w:r>
      <w:r>
        <w:t>①</w:t>
      </w:r>
      <w:r>
        <w:fldChar w:fldCharType="end"/>
      </w:r>
      <w:r>
        <w:rPr>
          <w:rFonts w:hint="eastAsia"/>
        </w:rPr>
        <w:t>；</w:t>
      </w:r>
    </w:p>
    <w:sectPr>
      <w:footerReference r:id="rId13" w:type="default"/>
      <w:pgSz w:w="16838" w:h="11906" w:orient="landscape"/>
      <w:pgMar w:top="1800" w:right="1440" w:bottom="1800" w:left="1440" w:header="851" w:footer="992" w:gutter="0"/>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8AEFB0F2-01BE-404F-B1DC-FE41630A4275}"/>
  </w:font>
  <w:font w:name="黑体">
    <w:panose1 w:val="02010609060101010101"/>
    <w:charset w:val="86"/>
    <w:family w:val="auto"/>
    <w:pitch w:val="default"/>
    <w:sig w:usb0="800002BF" w:usb1="38CF7CFA" w:usb2="00000016" w:usb3="00000000" w:csb0="00040001" w:csb1="00000000"/>
    <w:embedRegular r:id="rId2" w:fontKey="{58251815-90A5-4188-8232-A1E5258ACD0A}"/>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654F298A-9031-42A9-A560-F6364BF71C54}"/>
  </w:font>
  <w:font w:name="仿宋_GB2312">
    <w:panose1 w:val="02010609030101010101"/>
    <w:charset w:val="86"/>
    <w:family w:val="modern"/>
    <w:pitch w:val="default"/>
    <w:sig w:usb0="00000001" w:usb1="080E0000" w:usb2="00000000" w:usb3="00000000" w:csb0="00040000" w:csb1="00000000"/>
    <w:embedRegular r:id="rId4" w:fontKey="{C1D66A1C-8504-4B1A-8866-CD6B4ECD1289}"/>
  </w:font>
  <w:font w:name="Cambria">
    <w:panose1 w:val="02040503050406030204"/>
    <w:charset w:val="00"/>
    <w:family w:val="roman"/>
    <w:pitch w:val="default"/>
    <w:sig w:usb0="E00006FF" w:usb1="420024FF" w:usb2="02000000" w:usb3="00000000" w:csb0="2000019F" w:csb1="00000000"/>
  </w:font>
  <w:font w:name="宋体u.砸.葷.">
    <w:altName w:val="宋体"/>
    <w:panose1 w:val="00000000000000000000"/>
    <w:charset w:val="86"/>
    <w:family w:val="roman"/>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embedRegular r:id="rId5" w:fontKey="{DEEFC263-1CE5-4F6E-A068-C1DB3AE0C919}"/>
  </w:font>
  <w:font w:name="方正小标宋_GBK">
    <w:altName w:val="微软雅黑"/>
    <w:panose1 w:val="00000000000000000000"/>
    <w:charset w:val="86"/>
    <w:family w:val="script"/>
    <w:pitch w:val="default"/>
    <w:sig w:usb0="00000000" w:usb1="00000000" w:usb2="00082016" w:usb3="00000000" w:csb0="00040001" w:csb1="00000000"/>
    <w:embedRegular r:id="rId6" w:fontKey="{1E942DC5-B4F1-4A08-AFD8-CEA5863E8352}"/>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embedRegular r:id="rId7" w:fontKey="{9CFA619B-3E47-498B-900D-98DF91F5D837}"/>
  </w:font>
  <w:font w:name="仿宋">
    <w:panose1 w:val="02010609060101010101"/>
    <w:charset w:val="86"/>
    <w:family w:val="modern"/>
    <w:pitch w:val="default"/>
    <w:sig w:usb0="800002BF" w:usb1="38CF7CFA" w:usb2="00000016" w:usb3="00000000" w:csb0="00040001" w:csb1="00000000"/>
    <w:embedRegular r:id="rId8" w:fontKey="{CAE3A0DB-1DF2-432B-B8A7-7E1ABB68144A}"/>
  </w:font>
  <w:font w:name="Tahoma">
    <w:panose1 w:val="020B0604030504040204"/>
    <w:charset w:val="00"/>
    <w:family w:val="swiss"/>
    <w:pitch w:val="default"/>
    <w:sig w:usb0="E1002EFF" w:usb1="C000605B" w:usb2="00000029" w:usb3="00000000" w:csb0="200101FF" w:csb1="20280000"/>
  </w:font>
  <w:font w:name="WPSEMBED2">
    <w:panose1 w:val="02010609030101010101"/>
    <w:charset w:val="86"/>
    <w:family w:val="auto"/>
    <w:pitch w:val="default"/>
    <w:sig w:usb0="00000001" w:usb1="080E0000" w:usb2="00000000" w:usb3="00000000" w:csb0="00040000" w:csb1="00000000"/>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59B5C">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7A51F3">
    <w:pPr>
      <w:pStyle w:val="19"/>
      <w:framePr w:wrap="around" w:vAnchor="text" w:hAnchor="margin" w:xAlign="center" w:y="1"/>
      <w:ind w:firstLine="360"/>
      <w:rPr>
        <w:rStyle w:val="34"/>
      </w:rPr>
    </w:pPr>
    <w:r>
      <w:fldChar w:fldCharType="begin"/>
    </w:r>
    <w:r>
      <w:rPr>
        <w:rStyle w:val="34"/>
      </w:rPr>
      <w:instrText xml:space="preserve">PAGE  </w:instrText>
    </w:r>
    <w:r>
      <w:fldChar w:fldCharType="end"/>
    </w:r>
  </w:p>
  <w:p w14:paraId="792EA518">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D7360">
    <w:pPr>
      <w:pStyle w:val="1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C80F6">
    <w:pPr>
      <w:pStyle w:val="19"/>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C7C41">
    <w:pPr>
      <w:snapToGrid w:val="0"/>
      <w:ind w:firstLine="360"/>
      <w:jc w:val="center"/>
      <w:rPr>
        <w:kern w:val="0"/>
        <w:sz w:val="18"/>
        <w:szCs w:val="20"/>
      </w:rPr>
    </w:pPr>
    <w:r>
      <w:rPr>
        <w:kern w:val="0"/>
        <w:sz w:val="18"/>
        <w:szCs w:val="20"/>
      </w:rPr>
      <w:fldChar w:fldCharType="begin"/>
    </w:r>
    <w:r>
      <w:rPr>
        <w:kern w:val="0"/>
        <w:sz w:val="18"/>
        <w:szCs w:val="20"/>
      </w:rPr>
      <w:instrText xml:space="preserve">PAGE   \* MERGEFORMAT</w:instrText>
    </w:r>
    <w:r>
      <w:rPr>
        <w:kern w:val="0"/>
        <w:sz w:val="18"/>
        <w:szCs w:val="20"/>
      </w:rPr>
      <w:fldChar w:fldCharType="separate"/>
    </w:r>
    <w:r>
      <w:rPr>
        <w:kern w:val="0"/>
        <w:sz w:val="18"/>
        <w:szCs w:val="20"/>
      </w:rPr>
      <w:t>55</w:t>
    </w:r>
    <w:r>
      <w:rPr>
        <w:kern w:val="0"/>
        <w:sz w:val="18"/>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CEADD">
    <w:pPr>
      <w:pStyle w:val="19"/>
      <w:ind w:firstLine="360"/>
      <w:jc w:val="center"/>
    </w:pPr>
    <w:r>
      <w:fldChar w:fldCharType="begin"/>
    </w:r>
    <w:r>
      <w:instrText xml:space="preserve">PAGE   \* MERGEFORMAT</w:instrText>
    </w:r>
    <w:r>
      <w:fldChar w:fldCharType="separate"/>
    </w:r>
    <w:r>
      <w:t>81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595ACE">
    <w:pPr>
      <w:pStyle w:val="20"/>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0D29F">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60A86">
    <w:pPr>
      <w:pStyle w:val="2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4AC69CA"/>
    <w:multiLevelType w:val="singleLevel"/>
    <w:tmpl w:val="14AC69CA"/>
    <w:lvl w:ilvl="0" w:tentative="0">
      <w:start w:val="1"/>
      <w:numFmt w:val="chineseCounting"/>
      <w:suff w:val="nothing"/>
      <w:lvlText w:val="%1、"/>
      <w:lvlJc w:val="left"/>
      <w:rPr>
        <w:rFonts w:hint="eastAsia"/>
      </w:rPr>
    </w:lvl>
  </w:abstractNum>
  <w:abstractNum w:abstractNumId="1">
    <w:nsid w:val="1CCCB413"/>
    <w:multiLevelType w:val="singleLevel"/>
    <w:tmpl w:val="1CCCB413"/>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UxYzNmYjU3ODJiYzFlZDA5OWU3OGM1NmYxOTcxYWEifQ=="/>
  </w:docVars>
  <w:rsids>
    <w:rsidRoot w:val="00A14947"/>
    <w:rsid w:val="000060B3"/>
    <w:rsid w:val="000070BE"/>
    <w:rsid w:val="00013DB6"/>
    <w:rsid w:val="0003518F"/>
    <w:rsid w:val="00041B57"/>
    <w:rsid w:val="0004364B"/>
    <w:rsid w:val="000454E2"/>
    <w:rsid w:val="000459E2"/>
    <w:rsid w:val="000566B6"/>
    <w:rsid w:val="00061B1F"/>
    <w:rsid w:val="0006779E"/>
    <w:rsid w:val="000733C4"/>
    <w:rsid w:val="00074783"/>
    <w:rsid w:val="00077BD5"/>
    <w:rsid w:val="0008070B"/>
    <w:rsid w:val="000810AC"/>
    <w:rsid w:val="00081A02"/>
    <w:rsid w:val="00082231"/>
    <w:rsid w:val="00086F7F"/>
    <w:rsid w:val="00092D38"/>
    <w:rsid w:val="0009377B"/>
    <w:rsid w:val="000975BB"/>
    <w:rsid w:val="000A20C9"/>
    <w:rsid w:val="000A6338"/>
    <w:rsid w:val="000A712D"/>
    <w:rsid w:val="000B058F"/>
    <w:rsid w:val="000B4467"/>
    <w:rsid w:val="000B4DB9"/>
    <w:rsid w:val="000C09AC"/>
    <w:rsid w:val="000C119D"/>
    <w:rsid w:val="000C2683"/>
    <w:rsid w:val="000C767F"/>
    <w:rsid w:val="000D03D3"/>
    <w:rsid w:val="000D53A1"/>
    <w:rsid w:val="000D5A44"/>
    <w:rsid w:val="000E3ED2"/>
    <w:rsid w:val="000E408D"/>
    <w:rsid w:val="000F376B"/>
    <w:rsid w:val="001005DC"/>
    <w:rsid w:val="00100FD2"/>
    <w:rsid w:val="00101F42"/>
    <w:rsid w:val="001074DE"/>
    <w:rsid w:val="001209B4"/>
    <w:rsid w:val="001260FF"/>
    <w:rsid w:val="00131F42"/>
    <w:rsid w:val="00132AF4"/>
    <w:rsid w:val="001357F1"/>
    <w:rsid w:val="00140FA8"/>
    <w:rsid w:val="001418CB"/>
    <w:rsid w:val="00142475"/>
    <w:rsid w:val="00142FEB"/>
    <w:rsid w:val="00143A2D"/>
    <w:rsid w:val="00144AD8"/>
    <w:rsid w:val="00145A41"/>
    <w:rsid w:val="00150460"/>
    <w:rsid w:val="00151675"/>
    <w:rsid w:val="00157435"/>
    <w:rsid w:val="0017504D"/>
    <w:rsid w:val="0017671A"/>
    <w:rsid w:val="00177422"/>
    <w:rsid w:val="00182E99"/>
    <w:rsid w:val="00184590"/>
    <w:rsid w:val="001870D1"/>
    <w:rsid w:val="0018781E"/>
    <w:rsid w:val="0019262D"/>
    <w:rsid w:val="001968F8"/>
    <w:rsid w:val="001A1944"/>
    <w:rsid w:val="001A1B35"/>
    <w:rsid w:val="001A48A2"/>
    <w:rsid w:val="001A6F61"/>
    <w:rsid w:val="001A7399"/>
    <w:rsid w:val="001B72B8"/>
    <w:rsid w:val="001C2D59"/>
    <w:rsid w:val="001C69B3"/>
    <w:rsid w:val="001D54C0"/>
    <w:rsid w:val="001D5595"/>
    <w:rsid w:val="001D59B0"/>
    <w:rsid w:val="001D7874"/>
    <w:rsid w:val="001D7F22"/>
    <w:rsid w:val="001F0F17"/>
    <w:rsid w:val="001F3347"/>
    <w:rsid w:val="001F69E4"/>
    <w:rsid w:val="00204AD2"/>
    <w:rsid w:val="002125B4"/>
    <w:rsid w:val="002155B8"/>
    <w:rsid w:val="002208C6"/>
    <w:rsid w:val="00224839"/>
    <w:rsid w:val="002249B2"/>
    <w:rsid w:val="00226574"/>
    <w:rsid w:val="002278EC"/>
    <w:rsid w:val="0023280E"/>
    <w:rsid w:val="002377D1"/>
    <w:rsid w:val="002406E5"/>
    <w:rsid w:val="00242CE2"/>
    <w:rsid w:val="00245FC4"/>
    <w:rsid w:val="002506BC"/>
    <w:rsid w:val="00254345"/>
    <w:rsid w:val="00264557"/>
    <w:rsid w:val="002663F6"/>
    <w:rsid w:val="00266525"/>
    <w:rsid w:val="002805AB"/>
    <w:rsid w:val="00280786"/>
    <w:rsid w:val="00284204"/>
    <w:rsid w:val="00291773"/>
    <w:rsid w:val="0029771A"/>
    <w:rsid w:val="002A168C"/>
    <w:rsid w:val="002A199D"/>
    <w:rsid w:val="002A3DC7"/>
    <w:rsid w:val="002B4159"/>
    <w:rsid w:val="002B49E2"/>
    <w:rsid w:val="002B7B00"/>
    <w:rsid w:val="002B7C44"/>
    <w:rsid w:val="002C2B17"/>
    <w:rsid w:val="002C2D6B"/>
    <w:rsid w:val="002C486B"/>
    <w:rsid w:val="002D36C8"/>
    <w:rsid w:val="002D3DD0"/>
    <w:rsid w:val="002E0981"/>
    <w:rsid w:val="002E1F3A"/>
    <w:rsid w:val="002E298A"/>
    <w:rsid w:val="002F677F"/>
    <w:rsid w:val="002F6A84"/>
    <w:rsid w:val="00301978"/>
    <w:rsid w:val="00302A6B"/>
    <w:rsid w:val="0030332C"/>
    <w:rsid w:val="00304361"/>
    <w:rsid w:val="003051C2"/>
    <w:rsid w:val="003105DA"/>
    <w:rsid w:val="00312296"/>
    <w:rsid w:val="00314F0E"/>
    <w:rsid w:val="003200F4"/>
    <w:rsid w:val="00321D8E"/>
    <w:rsid w:val="00325928"/>
    <w:rsid w:val="003268CB"/>
    <w:rsid w:val="00330A98"/>
    <w:rsid w:val="00332863"/>
    <w:rsid w:val="00335CF1"/>
    <w:rsid w:val="0033684D"/>
    <w:rsid w:val="00337B42"/>
    <w:rsid w:val="00341B42"/>
    <w:rsid w:val="0034348F"/>
    <w:rsid w:val="00347493"/>
    <w:rsid w:val="003524E7"/>
    <w:rsid w:val="003535AF"/>
    <w:rsid w:val="00354BF1"/>
    <w:rsid w:val="00356653"/>
    <w:rsid w:val="0035743F"/>
    <w:rsid w:val="00357BE2"/>
    <w:rsid w:val="0036170C"/>
    <w:rsid w:val="00366E0F"/>
    <w:rsid w:val="0037286A"/>
    <w:rsid w:val="00381A72"/>
    <w:rsid w:val="00384676"/>
    <w:rsid w:val="00390857"/>
    <w:rsid w:val="003954FA"/>
    <w:rsid w:val="003A4BF3"/>
    <w:rsid w:val="003B420D"/>
    <w:rsid w:val="003B46BE"/>
    <w:rsid w:val="003C6C16"/>
    <w:rsid w:val="003C6E78"/>
    <w:rsid w:val="003D11D9"/>
    <w:rsid w:val="003D203C"/>
    <w:rsid w:val="003D476F"/>
    <w:rsid w:val="003D794D"/>
    <w:rsid w:val="003E3058"/>
    <w:rsid w:val="003E76A9"/>
    <w:rsid w:val="003F0809"/>
    <w:rsid w:val="003F196A"/>
    <w:rsid w:val="003F6A8C"/>
    <w:rsid w:val="003F755C"/>
    <w:rsid w:val="00406F01"/>
    <w:rsid w:val="0041430D"/>
    <w:rsid w:val="004163AF"/>
    <w:rsid w:val="00416D50"/>
    <w:rsid w:val="00416FD5"/>
    <w:rsid w:val="00417772"/>
    <w:rsid w:val="00420E6A"/>
    <w:rsid w:val="0042231F"/>
    <w:rsid w:val="00425A9E"/>
    <w:rsid w:val="00426D6B"/>
    <w:rsid w:val="00427737"/>
    <w:rsid w:val="00431E6C"/>
    <w:rsid w:val="00432B4A"/>
    <w:rsid w:val="00433CE7"/>
    <w:rsid w:val="0043454B"/>
    <w:rsid w:val="00452738"/>
    <w:rsid w:val="0045494B"/>
    <w:rsid w:val="00456091"/>
    <w:rsid w:val="0045696A"/>
    <w:rsid w:val="00466321"/>
    <w:rsid w:val="0047684F"/>
    <w:rsid w:val="00482B55"/>
    <w:rsid w:val="00484B9B"/>
    <w:rsid w:val="004855F6"/>
    <w:rsid w:val="00485CEE"/>
    <w:rsid w:val="0048661E"/>
    <w:rsid w:val="0049347D"/>
    <w:rsid w:val="00494670"/>
    <w:rsid w:val="004A22C0"/>
    <w:rsid w:val="004A3823"/>
    <w:rsid w:val="004C3097"/>
    <w:rsid w:val="004C63FE"/>
    <w:rsid w:val="004C64D9"/>
    <w:rsid w:val="004D6C8C"/>
    <w:rsid w:val="004E6946"/>
    <w:rsid w:val="004F1AD8"/>
    <w:rsid w:val="005039CB"/>
    <w:rsid w:val="0050558F"/>
    <w:rsid w:val="00506286"/>
    <w:rsid w:val="00510813"/>
    <w:rsid w:val="00511990"/>
    <w:rsid w:val="00511DE0"/>
    <w:rsid w:val="00514870"/>
    <w:rsid w:val="00514B9B"/>
    <w:rsid w:val="005166DA"/>
    <w:rsid w:val="00517F02"/>
    <w:rsid w:val="00523E89"/>
    <w:rsid w:val="00524303"/>
    <w:rsid w:val="005258A2"/>
    <w:rsid w:val="00530161"/>
    <w:rsid w:val="00537136"/>
    <w:rsid w:val="005401AE"/>
    <w:rsid w:val="00542E07"/>
    <w:rsid w:val="00544E42"/>
    <w:rsid w:val="00545424"/>
    <w:rsid w:val="00554A7B"/>
    <w:rsid w:val="00554A98"/>
    <w:rsid w:val="0055572C"/>
    <w:rsid w:val="0056106A"/>
    <w:rsid w:val="00565BFA"/>
    <w:rsid w:val="005720AE"/>
    <w:rsid w:val="00583A0B"/>
    <w:rsid w:val="00593C6F"/>
    <w:rsid w:val="00594D77"/>
    <w:rsid w:val="005969E4"/>
    <w:rsid w:val="005A01E9"/>
    <w:rsid w:val="005A06B7"/>
    <w:rsid w:val="005A1759"/>
    <w:rsid w:val="005A68A7"/>
    <w:rsid w:val="005A6972"/>
    <w:rsid w:val="005B0A16"/>
    <w:rsid w:val="005B7547"/>
    <w:rsid w:val="005D36AB"/>
    <w:rsid w:val="005E0E91"/>
    <w:rsid w:val="005E2E9B"/>
    <w:rsid w:val="005E5417"/>
    <w:rsid w:val="005F03C3"/>
    <w:rsid w:val="006015C8"/>
    <w:rsid w:val="00610F20"/>
    <w:rsid w:val="006143FC"/>
    <w:rsid w:val="00617CC3"/>
    <w:rsid w:val="0062177D"/>
    <w:rsid w:val="0062205F"/>
    <w:rsid w:val="006241B4"/>
    <w:rsid w:val="006309E7"/>
    <w:rsid w:val="00630EAA"/>
    <w:rsid w:val="006377A6"/>
    <w:rsid w:val="00637A3D"/>
    <w:rsid w:val="00637D9C"/>
    <w:rsid w:val="006411EF"/>
    <w:rsid w:val="006568A9"/>
    <w:rsid w:val="006572DD"/>
    <w:rsid w:val="006748B8"/>
    <w:rsid w:val="006775C3"/>
    <w:rsid w:val="00677885"/>
    <w:rsid w:val="006861A9"/>
    <w:rsid w:val="0069075D"/>
    <w:rsid w:val="0069290A"/>
    <w:rsid w:val="00692B71"/>
    <w:rsid w:val="0069775A"/>
    <w:rsid w:val="00697813"/>
    <w:rsid w:val="00697EC9"/>
    <w:rsid w:val="006A05C5"/>
    <w:rsid w:val="006A3EE8"/>
    <w:rsid w:val="006A6A7D"/>
    <w:rsid w:val="006A6A99"/>
    <w:rsid w:val="006A72BF"/>
    <w:rsid w:val="006B03F2"/>
    <w:rsid w:val="006B37DC"/>
    <w:rsid w:val="006B4F68"/>
    <w:rsid w:val="006B50B3"/>
    <w:rsid w:val="006C0592"/>
    <w:rsid w:val="006C1B06"/>
    <w:rsid w:val="006C272E"/>
    <w:rsid w:val="006C2DF8"/>
    <w:rsid w:val="006C3D18"/>
    <w:rsid w:val="006C52BF"/>
    <w:rsid w:val="006C5479"/>
    <w:rsid w:val="006D13B5"/>
    <w:rsid w:val="006E12FF"/>
    <w:rsid w:val="006E5DC9"/>
    <w:rsid w:val="006E607E"/>
    <w:rsid w:val="0070450C"/>
    <w:rsid w:val="00706C5D"/>
    <w:rsid w:val="00713A0F"/>
    <w:rsid w:val="00715E44"/>
    <w:rsid w:val="00732204"/>
    <w:rsid w:val="00732922"/>
    <w:rsid w:val="00741807"/>
    <w:rsid w:val="0075162E"/>
    <w:rsid w:val="00754034"/>
    <w:rsid w:val="007555CF"/>
    <w:rsid w:val="00756556"/>
    <w:rsid w:val="007618C4"/>
    <w:rsid w:val="007662BD"/>
    <w:rsid w:val="00767980"/>
    <w:rsid w:val="00767C54"/>
    <w:rsid w:val="00770B19"/>
    <w:rsid w:val="00771437"/>
    <w:rsid w:val="0077463F"/>
    <w:rsid w:val="00781478"/>
    <w:rsid w:val="007836EA"/>
    <w:rsid w:val="00784CDA"/>
    <w:rsid w:val="007906C4"/>
    <w:rsid w:val="007940EA"/>
    <w:rsid w:val="007967E8"/>
    <w:rsid w:val="00796F67"/>
    <w:rsid w:val="007A2170"/>
    <w:rsid w:val="007A22BF"/>
    <w:rsid w:val="007A3323"/>
    <w:rsid w:val="007A6399"/>
    <w:rsid w:val="007B4B49"/>
    <w:rsid w:val="007B506A"/>
    <w:rsid w:val="007B68AF"/>
    <w:rsid w:val="007B72B8"/>
    <w:rsid w:val="007B7A58"/>
    <w:rsid w:val="007C107B"/>
    <w:rsid w:val="007C21B5"/>
    <w:rsid w:val="007C21CE"/>
    <w:rsid w:val="007C453B"/>
    <w:rsid w:val="007C6D1A"/>
    <w:rsid w:val="007E4BD2"/>
    <w:rsid w:val="007E5A7E"/>
    <w:rsid w:val="007F1B1B"/>
    <w:rsid w:val="007F3472"/>
    <w:rsid w:val="007F3B02"/>
    <w:rsid w:val="00801393"/>
    <w:rsid w:val="00802F88"/>
    <w:rsid w:val="00803A79"/>
    <w:rsid w:val="008109AB"/>
    <w:rsid w:val="008114D0"/>
    <w:rsid w:val="0081293E"/>
    <w:rsid w:val="00814D5D"/>
    <w:rsid w:val="00815465"/>
    <w:rsid w:val="00816122"/>
    <w:rsid w:val="00817E9A"/>
    <w:rsid w:val="00820F8F"/>
    <w:rsid w:val="008306BD"/>
    <w:rsid w:val="00831A80"/>
    <w:rsid w:val="00833743"/>
    <w:rsid w:val="008340A4"/>
    <w:rsid w:val="00837E78"/>
    <w:rsid w:val="00840E1D"/>
    <w:rsid w:val="00844376"/>
    <w:rsid w:val="00847DE1"/>
    <w:rsid w:val="0086140A"/>
    <w:rsid w:val="00861DAB"/>
    <w:rsid w:val="00863ED5"/>
    <w:rsid w:val="0087135F"/>
    <w:rsid w:val="00872D94"/>
    <w:rsid w:val="00880364"/>
    <w:rsid w:val="008815CB"/>
    <w:rsid w:val="0088240E"/>
    <w:rsid w:val="00883579"/>
    <w:rsid w:val="00885337"/>
    <w:rsid w:val="00885689"/>
    <w:rsid w:val="00887A3C"/>
    <w:rsid w:val="00891592"/>
    <w:rsid w:val="00891E9E"/>
    <w:rsid w:val="008937BD"/>
    <w:rsid w:val="00893D06"/>
    <w:rsid w:val="008A2F68"/>
    <w:rsid w:val="008A474B"/>
    <w:rsid w:val="008B17A5"/>
    <w:rsid w:val="008B4FA6"/>
    <w:rsid w:val="008B5282"/>
    <w:rsid w:val="008B6924"/>
    <w:rsid w:val="008B7C17"/>
    <w:rsid w:val="008C2D01"/>
    <w:rsid w:val="008C40E6"/>
    <w:rsid w:val="008D0F7A"/>
    <w:rsid w:val="008D1EB4"/>
    <w:rsid w:val="008D68E4"/>
    <w:rsid w:val="008E0506"/>
    <w:rsid w:val="008E0CFF"/>
    <w:rsid w:val="008E5D6B"/>
    <w:rsid w:val="008E76F0"/>
    <w:rsid w:val="008F0517"/>
    <w:rsid w:val="008F15FE"/>
    <w:rsid w:val="008F2D29"/>
    <w:rsid w:val="008F5187"/>
    <w:rsid w:val="008F60D8"/>
    <w:rsid w:val="00902727"/>
    <w:rsid w:val="0090312B"/>
    <w:rsid w:val="009038E8"/>
    <w:rsid w:val="009110C4"/>
    <w:rsid w:val="0091736D"/>
    <w:rsid w:val="0093026B"/>
    <w:rsid w:val="0093037A"/>
    <w:rsid w:val="00931EEF"/>
    <w:rsid w:val="00933B88"/>
    <w:rsid w:val="00935A46"/>
    <w:rsid w:val="0094154D"/>
    <w:rsid w:val="00946ED7"/>
    <w:rsid w:val="0095155F"/>
    <w:rsid w:val="0095320F"/>
    <w:rsid w:val="00954429"/>
    <w:rsid w:val="009547D0"/>
    <w:rsid w:val="009563CE"/>
    <w:rsid w:val="00963589"/>
    <w:rsid w:val="00976328"/>
    <w:rsid w:val="0097680D"/>
    <w:rsid w:val="00982438"/>
    <w:rsid w:val="0098404C"/>
    <w:rsid w:val="00985283"/>
    <w:rsid w:val="00993935"/>
    <w:rsid w:val="00995992"/>
    <w:rsid w:val="0099731D"/>
    <w:rsid w:val="00997D30"/>
    <w:rsid w:val="009A03E5"/>
    <w:rsid w:val="009A0F3B"/>
    <w:rsid w:val="009A1BB4"/>
    <w:rsid w:val="009A2628"/>
    <w:rsid w:val="009A3200"/>
    <w:rsid w:val="009B0897"/>
    <w:rsid w:val="009B7BD9"/>
    <w:rsid w:val="009C00FD"/>
    <w:rsid w:val="009C1626"/>
    <w:rsid w:val="009C7DD5"/>
    <w:rsid w:val="009D0FEE"/>
    <w:rsid w:val="009E227D"/>
    <w:rsid w:val="009E5019"/>
    <w:rsid w:val="009E5253"/>
    <w:rsid w:val="009F58F9"/>
    <w:rsid w:val="00A01AC5"/>
    <w:rsid w:val="00A04F1B"/>
    <w:rsid w:val="00A0501B"/>
    <w:rsid w:val="00A10306"/>
    <w:rsid w:val="00A14947"/>
    <w:rsid w:val="00A2703B"/>
    <w:rsid w:val="00A32A83"/>
    <w:rsid w:val="00A3572D"/>
    <w:rsid w:val="00A368DB"/>
    <w:rsid w:val="00A41EB4"/>
    <w:rsid w:val="00A423AA"/>
    <w:rsid w:val="00A444A9"/>
    <w:rsid w:val="00A447B1"/>
    <w:rsid w:val="00A53EC6"/>
    <w:rsid w:val="00A54E5B"/>
    <w:rsid w:val="00A55349"/>
    <w:rsid w:val="00A55C0F"/>
    <w:rsid w:val="00A56967"/>
    <w:rsid w:val="00A576C9"/>
    <w:rsid w:val="00A61FB3"/>
    <w:rsid w:val="00A8386F"/>
    <w:rsid w:val="00A8713F"/>
    <w:rsid w:val="00A90BA1"/>
    <w:rsid w:val="00A949F3"/>
    <w:rsid w:val="00A94C74"/>
    <w:rsid w:val="00A97848"/>
    <w:rsid w:val="00A97A9A"/>
    <w:rsid w:val="00AA0671"/>
    <w:rsid w:val="00AA2531"/>
    <w:rsid w:val="00AA751B"/>
    <w:rsid w:val="00AB1E09"/>
    <w:rsid w:val="00AB5330"/>
    <w:rsid w:val="00AB7747"/>
    <w:rsid w:val="00AC14CE"/>
    <w:rsid w:val="00AC2A56"/>
    <w:rsid w:val="00AC31B6"/>
    <w:rsid w:val="00AC4FE8"/>
    <w:rsid w:val="00AC55B1"/>
    <w:rsid w:val="00AD055E"/>
    <w:rsid w:val="00AD1C34"/>
    <w:rsid w:val="00AD2054"/>
    <w:rsid w:val="00AD47A7"/>
    <w:rsid w:val="00AD575B"/>
    <w:rsid w:val="00AF003F"/>
    <w:rsid w:val="00AF0CBF"/>
    <w:rsid w:val="00AF1CE5"/>
    <w:rsid w:val="00AF257F"/>
    <w:rsid w:val="00AF33CF"/>
    <w:rsid w:val="00AF4D50"/>
    <w:rsid w:val="00AF6179"/>
    <w:rsid w:val="00B12080"/>
    <w:rsid w:val="00B128DD"/>
    <w:rsid w:val="00B1295A"/>
    <w:rsid w:val="00B130C4"/>
    <w:rsid w:val="00B17FB0"/>
    <w:rsid w:val="00B20A45"/>
    <w:rsid w:val="00B22C5C"/>
    <w:rsid w:val="00B24F30"/>
    <w:rsid w:val="00B2573F"/>
    <w:rsid w:val="00B31ABF"/>
    <w:rsid w:val="00B33BE3"/>
    <w:rsid w:val="00B4648B"/>
    <w:rsid w:val="00B46918"/>
    <w:rsid w:val="00B53B5D"/>
    <w:rsid w:val="00B57FDE"/>
    <w:rsid w:val="00B6055E"/>
    <w:rsid w:val="00B6317D"/>
    <w:rsid w:val="00B66B9F"/>
    <w:rsid w:val="00B7723F"/>
    <w:rsid w:val="00B775C1"/>
    <w:rsid w:val="00B80534"/>
    <w:rsid w:val="00B8433C"/>
    <w:rsid w:val="00B87491"/>
    <w:rsid w:val="00B903DB"/>
    <w:rsid w:val="00BA29E9"/>
    <w:rsid w:val="00BA7142"/>
    <w:rsid w:val="00BB1443"/>
    <w:rsid w:val="00BB237C"/>
    <w:rsid w:val="00BB41A3"/>
    <w:rsid w:val="00BC32DC"/>
    <w:rsid w:val="00BC35B6"/>
    <w:rsid w:val="00BD1B51"/>
    <w:rsid w:val="00BD1BE0"/>
    <w:rsid w:val="00BD4596"/>
    <w:rsid w:val="00BD5081"/>
    <w:rsid w:val="00BD5F15"/>
    <w:rsid w:val="00BE1405"/>
    <w:rsid w:val="00BE312D"/>
    <w:rsid w:val="00BF1C20"/>
    <w:rsid w:val="00BF2F39"/>
    <w:rsid w:val="00C10578"/>
    <w:rsid w:val="00C135BC"/>
    <w:rsid w:val="00C13670"/>
    <w:rsid w:val="00C1496A"/>
    <w:rsid w:val="00C15C95"/>
    <w:rsid w:val="00C15F37"/>
    <w:rsid w:val="00C2596A"/>
    <w:rsid w:val="00C27537"/>
    <w:rsid w:val="00C328FE"/>
    <w:rsid w:val="00C33507"/>
    <w:rsid w:val="00C33DFB"/>
    <w:rsid w:val="00C4023C"/>
    <w:rsid w:val="00C4409D"/>
    <w:rsid w:val="00C44682"/>
    <w:rsid w:val="00C44E72"/>
    <w:rsid w:val="00C45A06"/>
    <w:rsid w:val="00C47E5B"/>
    <w:rsid w:val="00C52DD6"/>
    <w:rsid w:val="00C61E4B"/>
    <w:rsid w:val="00C64BFF"/>
    <w:rsid w:val="00C65D27"/>
    <w:rsid w:val="00C67C87"/>
    <w:rsid w:val="00C704E9"/>
    <w:rsid w:val="00C73254"/>
    <w:rsid w:val="00C763C9"/>
    <w:rsid w:val="00C80057"/>
    <w:rsid w:val="00C82232"/>
    <w:rsid w:val="00C82913"/>
    <w:rsid w:val="00C97171"/>
    <w:rsid w:val="00C972B1"/>
    <w:rsid w:val="00C978A8"/>
    <w:rsid w:val="00CA2CCE"/>
    <w:rsid w:val="00CA43FD"/>
    <w:rsid w:val="00CA74EC"/>
    <w:rsid w:val="00CA7EF8"/>
    <w:rsid w:val="00CB5002"/>
    <w:rsid w:val="00CB5A10"/>
    <w:rsid w:val="00CC3D1A"/>
    <w:rsid w:val="00CC489B"/>
    <w:rsid w:val="00CC5D62"/>
    <w:rsid w:val="00CD189F"/>
    <w:rsid w:val="00CD2A33"/>
    <w:rsid w:val="00CD2BCD"/>
    <w:rsid w:val="00CD3A4C"/>
    <w:rsid w:val="00CE10E9"/>
    <w:rsid w:val="00CE2910"/>
    <w:rsid w:val="00CE5393"/>
    <w:rsid w:val="00CE6CD5"/>
    <w:rsid w:val="00CE7177"/>
    <w:rsid w:val="00CF36BE"/>
    <w:rsid w:val="00CF6000"/>
    <w:rsid w:val="00D003F3"/>
    <w:rsid w:val="00D0364F"/>
    <w:rsid w:val="00D06834"/>
    <w:rsid w:val="00D06920"/>
    <w:rsid w:val="00D13FED"/>
    <w:rsid w:val="00D15112"/>
    <w:rsid w:val="00D234B3"/>
    <w:rsid w:val="00D308ED"/>
    <w:rsid w:val="00D31571"/>
    <w:rsid w:val="00D36D86"/>
    <w:rsid w:val="00D428AA"/>
    <w:rsid w:val="00D50A34"/>
    <w:rsid w:val="00D53EFA"/>
    <w:rsid w:val="00D8338E"/>
    <w:rsid w:val="00D94A7C"/>
    <w:rsid w:val="00D95896"/>
    <w:rsid w:val="00DB032D"/>
    <w:rsid w:val="00DB2983"/>
    <w:rsid w:val="00DB3425"/>
    <w:rsid w:val="00DC1257"/>
    <w:rsid w:val="00DC167D"/>
    <w:rsid w:val="00DC3DC0"/>
    <w:rsid w:val="00DC5B2B"/>
    <w:rsid w:val="00DD318D"/>
    <w:rsid w:val="00DF217B"/>
    <w:rsid w:val="00DF2E12"/>
    <w:rsid w:val="00DF514A"/>
    <w:rsid w:val="00DF6690"/>
    <w:rsid w:val="00DF6804"/>
    <w:rsid w:val="00E01990"/>
    <w:rsid w:val="00E02630"/>
    <w:rsid w:val="00E0358D"/>
    <w:rsid w:val="00E04323"/>
    <w:rsid w:val="00E070A2"/>
    <w:rsid w:val="00E1648E"/>
    <w:rsid w:val="00E2656A"/>
    <w:rsid w:val="00E267C4"/>
    <w:rsid w:val="00E2752D"/>
    <w:rsid w:val="00E366D6"/>
    <w:rsid w:val="00E412D0"/>
    <w:rsid w:val="00E54D24"/>
    <w:rsid w:val="00E56322"/>
    <w:rsid w:val="00E60982"/>
    <w:rsid w:val="00E61CFA"/>
    <w:rsid w:val="00E62C62"/>
    <w:rsid w:val="00E654C1"/>
    <w:rsid w:val="00E65D97"/>
    <w:rsid w:val="00E72A5A"/>
    <w:rsid w:val="00E72A8C"/>
    <w:rsid w:val="00E73141"/>
    <w:rsid w:val="00E73354"/>
    <w:rsid w:val="00E7523A"/>
    <w:rsid w:val="00E8028F"/>
    <w:rsid w:val="00E9242D"/>
    <w:rsid w:val="00E96BDF"/>
    <w:rsid w:val="00EA6E24"/>
    <w:rsid w:val="00EB5255"/>
    <w:rsid w:val="00EB5C47"/>
    <w:rsid w:val="00EC266F"/>
    <w:rsid w:val="00EC332E"/>
    <w:rsid w:val="00EC4111"/>
    <w:rsid w:val="00ED0639"/>
    <w:rsid w:val="00EE3F60"/>
    <w:rsid w:val="00EF4755"/>
    <w:rsid w:val="00EF7135"/>
    <w:rsid w:val="00F027DB"/>
    <w:rsid w:val="00F05A47"/>
    <w:rsid w:val="00F14A7A"/>
    <w:rsid w:val="00F16279"/>
    <w:rsid w:val="00F22985"/>
    <w:rsid w:val="00F32FF8"/>
    <w:rsid w:val="00F3383E"/>
    <w:rsid w:val="00F465A7"/>
    <w:rsid w:val="00F50B7C"/>
    <w:rsid w:val="00F51ED4"/>
    <w:rsid w:val="00F53303"/>
    <w:rsid w:val="00F550E6"/>
    <w:rsid w:val="00F70BC6"/>
    <w:rsid w:val="00F74345"/>
    <w:rsid w:val="00F755E6"/>
    <w:rsid w:val="00F80A0A"/>
    <w:rsid w:val="00F82B19"/>
    <w:rsid w:val="00F9212D"/>
    <w:rsid w:val="00F965DA"/>
    <w:rsid w:val="00F96819"/>
    <w:rsid w:val="00FA0290"/>
    <w:rsid w:val="00FA406A"/>
    <w:rsid w:val="00FB2A00"/>
    <w:rsid w:val="00FB3755"/>
    <w:rsid w:val="00FB503A"/>
    <w:rsid w:val="00FB516C"/>
    <w:rsid w:val="00FB5F7E"/>
    <w:rsid w:val="00FC61D7"/>
    <w:rsid w:val="00FD0236"/>
    <w:rsid w:val="00FD18F4"/>
    <w:rsid w:val="00FD2445"/>
    <w:rsid w:val="00FD54DB"/>
    <w:rsid w:val="00FD619F"/>
    <w:rsid w:val="00FE532C"/>
    <w:rsid w:val="00FF5B8C"/>
    <w:rsid w:val="01055032"/>
    <w:rsid w:val="0110752A"/>
    <w:rsid w:val="01113C08"/>
    <w:rsid w:val="01232ED2"/>
    <w:rsid w:val="01290F7E"/>
    <w:rsid w:val="012A6BDB"/>
    <w:rsid w:val="01322B5A"/>
    <w:rsid w:val="01395BF5"/>
    <w:rsid w:val="013B173C"/>
    <w:rsid w:val="01420B24"/>
    <w:rsid w:val="01454397"/>
    <w:rsid w:val="01457382"/>
    <w:rsid w:val="014A4B8B"/>
    <w:rsid w:val="014A7C57"/>
    <w:rsid w:val="0154654A"/>
    <w:rsid w:val="015754F6"/>
    <w:rsid w:val="015C45B1"/>
    <w:rsid w:val="015D1E09"/>
    <w:rsid w:val="015D27F1"/>
    <w:rsid w:val="016D588F"/>
    <w:rsid w:val="0178456A"/>
    <w:rsid w:val="018253E9"/>
    <w:rsid w:val="018726B3"/>
    <w:rsid w:val="01925AB4"/>
    <w:rsid w:val="019B660C"/>
    <w:rsid w:val="019F309C"/>
    <w:rsid w:val="01A53138"/>
    <w:rsid w:val="01AA41D0"/>
    <w:rsid w:val="01AB7368"/>
    <w:rsid w:val="01C04569"/>
    <w:rsid w:val="01CE7148"/>
    <w:rsid w:val="01D8168A"/>
    <w:rsid w:val="01D8482B"/>
    <w:rsid w:val="01E03A9B"/>
    <w:rsid w:val="01E56799"/>
    <w:rsid w:val="01E97D5C"/>
    <w:rsid w:val="01FC3F31"/>
    <w:rsid w:val="020572EB"/>
    <w:rsid w:val="021C29C7"/>
    <w:rsid w:val="0227311A"/>
    <w:rsid w:val="02276BB2"/>
    <w:rsid w:val="022E6257"/>
    <w:rsid w:val="022E6A2C"/>
    <w:rsid w:val="02303E2C"/>
    <w:rsid w:val="0237032B"/>
    <w:rsid w:val="023756CA"/>
    <w:rsid w:val="023A4BFB"/>
    <w:rsid w:val="02405F8A"/>
    <w:rsid w:val="02543863"/>
    <w:rsid w:val="02697903"/>
    <w:rsid w:val="0270329C"/>
    <w:rsid w:val="028041EA"/>
    <w:rsid w:val="0284231A"/>
    <w:rsid w:val="02913B65"/>
    <w:rsid w:val="02923124"/>
    <w:rsid w:val="029F7302"/>
    <w:rsid w:val="02A87241"/>
    <w:rsid w:val="02B17E86"/>
    <w:rsid w:val="02B32378"/>
    <w:rsid w:val="02B502FF"/>
    <w:rsid w:val="02B961CD"/>
    <w:rsid w:val="02BB6F86"/>
    <w:rsid w:val="02BE3A7E"/>
    <w:rsid w:val="02C26B15"/>
    <w:rsid w:val="02C3371F"/>
    <w:rsid w:val="02C557A9"/>
    <w:rsid w:val="02CB54D3"/>
    <w:rsid w:val="02D36788"/>
    <w:rsid w:val="02D45050"/>
    <w:rsid w:val="02D72D0B"/>
    <w:rsid w:val="02D8779D"/>
    <w:rsid w:val="02DE0B9A"/>
    <w:rsid w:val="02DF21EF"/>
    <w:rsid w:val="02ED5A8E"/>
    <w:rsid w:val="02F25333"/>
    <w:rsid w:val="02F327FE"/>
    <w:rsid w:val="02F96569"/>
    <w:rsid w:val="030318A1"/>
    <w:rsid w:val="030719D9"/>
    <w:rsid w:val="03095004"/>
    <w:rsid w:val="030B183D"/>
    <w:rsid w:val="030F42DA"/>
    <w:rsid w:val="03113C9B"/>
    <w:rsid w:val="031F1457"/>
    <w:rsid w:val="03325BBB"/>
    <w:rsid w:val="03372A2E"/>
    <w:rsid w:val="03384D0D"/>
    <w:rsid w:val="033879A6"/>
    <w:rsid w:val="03432075"/>
    <w:rsid w:val="034551DE"/>
    <w:rsid w:val="035241C7"/>
    <w:rsid w:val="035B7FC2"/>
    <w:rsid w:val="035F26D2"/>
    <w:rsid w:val="03622455"/>
    <w:rsid w:val="03675EC4"/>
    <w:rsid w:val="037936EC"/>
    <w:rsid w:val="037F58E9"/>
    <w:rsid w:val="0382266C"/>
    <w:rsid w:val="03871047"/>
    <w:rsid w:val="03892A60"/>
    <w:rsid w:val="038B0753"/>
    <w:rsid w:val="038E3EE8"/>
    <w:rsid w:val="039156A6"/>
    <w:rsid w:val="039447DF"/>
    <w:rsid w:val="03A365B9"/>
    <w:rsid w:val="03B427AD"/>
    <w:rsid w:val="03B509EE"/>
    <w:rsid w:val="03C85160"/>
    <w:rsid w:val="03CB2647"/>
    <w:rsid w:val="03CC2C52"/>
    <w:rsid w:val="03CC6866"/>
    <w:rsid w:val="03CD4DBE"/>
    <w:rsid w:val="03CD62AA"/>
    <w:rsid w:val="03D16ADB"/>
    <w:rsid w:val="03E00F4D"/>
    <w:rsid w:val="03E3290B"/>
    <w:rsid w:val="03E85264"/>
    <w:rsid w:val="03EA7B21"/>
    <w:rsid w:val="03FF60FC"/>
    <w:rsid w:val="04101DB7"/>
    <w:rsid w:val="04155920"/>
    <w:rsid w:val="04163446"/>
    <w:rsid w:val="042A47D4"/>
    <w:rsid w:val="04305D56"/>
    <w:rsid w:val="04417611"/>
    <w:rsid w:val="0445187F"/>
    <w:rsid w:val="04536561"/>
    <w:rsid w:val="04620439"/>
    <w:rsid w:val="046643CE"/>
    <w:rsid w:val="04667659"/>
    <w:rsid w:val="046F510C"/>
    <w:rsid w:val="04874344"/>
    <w:rsid w:val="048B47BE"/>
    <w:rsid w:val="048F2C94"/>
    <w:rsid w:val="0493352D"/>
    <w:rsid w:val="04954AC7"/>
    <w:rsid w:val="04A24703"/>
    <w:rsid w:val="04AE6738"/>
    <w:rsid w:val="04B30C95"/>
    <w:rsid w:val="04BB3C68"/>
    <w:rsid w:val="04BF7C35"/>
    <w:rsid w:val="04C3017D"/>
    <w:rsid w:val="04D87772"/>
    <w:rsid w:val="04F73278"/>
    <w:rsid w:val="05026FE8"/>
    <w:rsid w:val="05031314"/>
    <w:rsid w:val="05080FE1"/>
    <w:rsid w:val="05111DAD"/>
    <w:rsid w:val="05127FA6"/>
    <w:rsid w:val="05162AAF"/>
    <w:rsid w:val="051A51B8"/>
    <w:rsid w:val="052D4EEB"/>
    <w:rsid w:val="05383F82"/>
    <w:rsid w:val="05393890"/>
    <w:rsid w:val="05413C9D"/>
    <w:rsid w:val="054B290B"/>
    <w:rsid w:val="0550438A"/>
    <w:rsid w:val="055408A9"/>
    <w:rsid w:val="05590104"/>
    <w:rsid w:val="05630ECA"/>
    <w:rsid w:val="0566574C"/>
    <w:rsid w:val="056D52E8"/>
    <w:rsid w:val="05712027"/>
    <w:rsid w:val="05795346"/>
    <w:rsid w:val="057A5434"/>
    <w:rsid w:val="057D6F2B"/>
    <w:rsid w:val="05836E34"/>
    <w:rsid w:val="05882122"/>
    <w:rsid w:val="05997E8B"/>
    <w:rsid w:val="059E3096"/>
    <w:rsid w:val="05B04863"/>
    <w:rsid w:val="05B15CA4"/>
    <w:rsid w:val="05B253F0"/>
    <w:rsid w:val="05B3687C"/>
    <w:rsid w:val="05B802CD"/>
    <w:rsid w:val="05C40C36"/>
    <w:rsid w:val="05C70E9C"/>
    <w:rsid w:val="05CC20C2"/>
    <w:rsid w:val="05CF3229"/>
    <w:rsid w:val="05D4191D"/>
    <w:rsid w:val="05DC036A"/>
    <w:rsid w:val="05DE4A38"/>
    <w:rsid w:val="05E201FF"/>
    <w:rsid w:val="05F504EE"/>
    <w:rsid w:val="05F83EAE"/>
    <w:rsid w:val="05F91A40"/>
    <w:rsid w:val="05FB1C49"/>
    <w:rsid w:val="060A0D89"/>
    <w:rsid w:val="061A046F"/>
    <w:rsid w:val="061B2F96"/>
    <w:rsid w:val="061C0B7C"/>
    <w:rsid w:val="061C626A"/>
    <w:rsid w:val="061D286A"/>
    <w:rsid w:val="0620235A"/>
    <w:rsid w:val="0621272B"/>
    <w:rsid w:val="06242E8D"/>
    <w:rsid w:val="062E1755"/>
    <w:rsid w:val="06316B92"/>
    <w:rsid w:val="06377434"/>
    <w:rsid w:val="06386F02"/>
    <w:rsid w:val="063E7D85"/>
    <w:rsid w:val="06471FDD"/>
    <w:rsid w:val="064C7016"/>
    <w:rsid w:val="0651540A"/>
    <w:rsid w:val="06532893"/>
    <w:rsid w:val="0663023B"/>
    <w:rsid w:val="06656AEA"/>
    <w:rsid w:val="066C559F"/>
    <w:rsid w:val="06707752"/>
    <w:rsid w:val="06787267"/>
    <w:rsid w:val="067D362E"/>
    <w:rsid w:val="067D79AD"/>
    <w:rsid w:val="068D43A1"/>
    <w:rsid w:val="068F2218"/>
    <w:rsid w:val="069E34B0"/>
    <w:rsid w:val="06A00E08"/>
    <w:rsid w:val="06A23A2F"/>
    <w:rsid w:val="06B14707"/>
    <w:rsid w:val="06B87447"/>
    <w:rsid w:val="06BC02D5"/>
    <w:rsid w:val="06BF09F6"/>
    <w:rsid w:val="06BF7DC5"/>
    <w:rsid w:val="06C47634"/>
    <w:rsid w:val="06C51B71"/>
    <w:rsid w:val="06D575E9"/>
    <w:rsid w:val="06DE3933"/>
    <w:rsid w:val="06DF5A5E"/>
    <w:rsid w:val="06E66BCE"/>
    <w:rsid w:val="06ED31A1"/>
    <w:rsid w:val="06FD15E5"/>
    <w:rsid w:val="06FD269B"/>
    <w:rsid w:val="070F76C7"/>
    <w:rsid w:val="07174722"/>
    <w:rsid w:val="071C34B5"/>
    <w:rsid w:val="072440CC"/>
    <w:rsid w:val="07293586"/>
    <w:rsid w:val="07295285"/>
    <w:rsid w:val="072E58CA"/>
    <w:rsid w:val="07496F61"/>
    <w:rsid w:val="07506023"/>
    <w:rsid w:val="075720E5"/>
    <w:rsid w:val="07580448"/>
    <w:rsid w:val="07614AC6"/>
    <w:rsid w:val="076170CE"/>
    <w:rsid w:val="07636392"/>
    <w:rsid w:val="07667FF2"/>
    <w:rsid w:val="07770C56"/>
    <w:rsid w:val="077F7DAE"/>
    <w:rsid w:val="07807BA2"/>
    <w:rsid w:val="078A2181"/>
    <w:rsid w:val="07994871"/>
    <w:rsid w:val="079B1F05"/>
    <w:rsid w:val="07A33243"/>
    <w:rsid w:val="07A62EC4"/>
    <w:rsid w:val="07A76DE7"/>
    <w:rsid w:val="07A82607"/>
    <w:rsid w:val="07A94E12"/>
    <w:rsid w:val="07C5622B"/>
    <w:rsid w:val="07C97778"/>
    <w:rsid w:val="07CD3513"/>
    <w:rsid w:val="07DE7496"/>
    <w:rsid w:val="07EB6E82"/>
    <w:rsid w:val="07F615C4"/>
    <w:rsid w:val="07F95559"/>
    <w:rsid w:val="080261BB"/>
    <w:rsid w:val="0808754A"/>
    <w:rsid w:val="080C3401"/>
    <w:rsid w:val="08115B83"/>
    <w:rsid w:val="08153F91"/>
    <w:rsid w:val="08161C67"/>
    <w:rsid w:val="08162B07"/>
    <w:rsid w:val="081906D7"/>
    <w:rsid w:val="08226174"/>
    <w:rsid w:val="082425D6"/>
    <w:rsid w:val="082D0FA0"/>
    <w:rsid w:val="08313490"/>
    <w:rsid w:val="083D40C6"/>
    <w:rsid w:val="084126B6"/>
    <w:rsid w:val="08446018"/>
    <w:rsid w:val="08485973"/>
    <w:rsid w:val="084C38DA"/>
    <w:rsid w:val="08544830"/>
    <w:rsid w:val="0856729F"/>
    <w:rsid w:val="085B16CA"/>
    <w:rsid w:val="087B2735"/>
    <w:rsid w:val="089264C8"/>
    <w:rsid w:val="08935065"/>
    <w:rsid w:val="089E3E17"/>
    <w:rsid w:val="08A6123D"/>
    <w:rsid w:val="08A87F74"/>
    <w:rsid w:val="08A92545"/>
    <w:rsid w:val="08AF4627"/>
    <w:rsid w:val="08C472E0"/>
    <w:rsid w:val="08C56A9F"/>
    <w:rsid w:val="08D31953"/>
    <w:rsid w:val="08D32307"/>
    <w:rsid w:val="08D35DAA"/>
    <w:rsid w:val="08E04371"/>
    <w:rsid w:val="08E753B1"/>
    <w:rsid w:val="08F065A2"/>
    <w:rsid w:val="08F31A48"/>
    <w:rsid w:val="090B7262"/>
    <w:rsid w:val="090B72F2"/>
    <w:rsid w:val="092217DD"/>
    <w:rsid w:val="09271EEA"/>
    <w:rsid w:val="09297778"/>
    <w:rsid w:val="092A4C4E"/>
    <w:rsid w:val="092B1716"/>
    <w:rsid w:val="09350B44"/>
    <w:rsid w:val="093720BD"/>
    <w:rsid w:val="093A7294"/>
    <w:rsid w:val="093F343F"/>
    <w:rsid w:val="09434CDD"/>
    <w:rsid w:val="094576C5"/>
    <w:rsid w:val="09482291"/>
    <w:rsid w:val="094840A2"/>
    <w:rsid w:val="0950340E"/>
    <w:rsid w:val="09557ABF"/>
    <w:rsid w:val="09581E0B"/>
    <w:rsid w:val="09594501"/>
    <w:rsid w:val="095C7D71"/>
    <w:rsid w:val="095E417C"/>
    <w:rsid w:val="095F57C8"/>
    <w:rsid w:val="09670272"/>
    <w:rsid w:val="096E1734"/>
    <w:rsid w:val="097334AC"/>
    <w:rsid w:val="097A4477"/>
    <w:rsid w:val="097A7FD3"/>
    <w:rsid w:val="0983157E"/>
    <w:rsid w:val="09831EA8"/>
    <w:rsid w:val="098C5B36"/>
    <w:rsid w:val="098D7D07"/>
    <w:rsid w:val="099A6A6F"/>
    <w:rsid w:val="09A13D71"/>
    <w:rsid w:val="09AA04A0"/>
    <w:rsid w:val="09B73475"/>
    <w:rsid w:val="09C7121B"/>
    <w:rsid w:val="09D32E1B"/>
    <w:rsid w:val="09D40957"/>
    <w:rsid w:val="09D70D46"/>
    <w:rsid w:val="09DB1C23"/>
    <w:rsid w:val="09E33A8C"/>
    <w:rsid w:val="09EC55C5"/>
    <w:rsid w:val="09EF451D"/>
    <w:rsid w:val="09F04EC7"/>
    <w:rsid w:val="09F61297"/>
    <w:rsid w:val="09F61D50"/>
    <w:rsid w:val="09F711B8"/>
    <w:rsid w:val="09F9539C"/>
    <w:rsid w:val="09FC4E8C"/>
    <w:rsid w:val="0A00497C"/>
    <w:rsid w:val="0A02196F"/>
    <w:rsid w:val="0A08213D"/>
    <w:rsid w:val="0A12582B"/>
    <w:rsid w:val="0A13335B"/>
    <w:rsid w:val="0A165F4E"/>
    <w:rsid w:val="0A18780C"/>
    <w:rsid w:val="0A263993"/>
    <w:rsid w:val="0A2A7852"/>
    <w:rsid w:val="0A2D3AC2"/>
    <w:rsid w:val="0A312D88"/>
    <w:rsid w:val="0A394012"/>
    <w:rsid w:val="0A3D472E"/>
    <w:rsid w:val="0A3F3469"/>
    <w:rsid w:val="0A410AF1"/>
    <w:rsid w:val="0A4434F3"/>
    <w:rsid w:val="0A456833"/>
    <w:rsid w:val="0A4A7952"/>
    <w:rsid w:val="0A5107C0"/>
    <w:rsid w:val="0A5371A2"/>
    <w:rsid w:val="0A696C30"/>
    <w:rsid w:val="0A743443"/>
    <w:rsid w:val="0A753BA2"/>
    <w:rsid w:val="0A774B48"/>
    <w:rsid w:val="0A8A487F"/>
    <w:rsid w:val="0A8B31A5"/>
    <w:rsid w:val="0A906F7E"/>
    <w:rsid w:val="0A982E07"/>
    <w:rsid w:val="0AA068F7"/>
    <w:rsid w:val="0AA755DF"/>
    <w:rsid w:val="0AAC0660"/>
    <w:rsid w:val="0AB757BE"/>
    <w:rsid w:val="0ABD0F04"/>
    <w:rsid w:val="0AD5106B"/>
    <w:rsid w:val="0AD74272"/>
    <w:rsid w:val="0AE2480E"/>
    <w:rsid w:val="0AE46B3C"/>
    <w:rsid w:val="0AE50D8B"/>
    <w:rsid w:val="0AE75B3C"/>
    <w:rsid w:val="0AF70E5C"/>
    <w:rsid w:val="0B024724"/>
    <w:rsid w:val="0B0455F3"/>
    <w:rsid w:val="0B065FC2"/>
    <w:rsid w:val="0B120D44"/>
    <w:rsid w:val="0B161F7E"/>
    <w:rsid w:val="0B196234"/>
    <w:rsid w:val="0B1A1A6E"/>
    <w:rsid w:val="0B1A454A"/>
    <w:rsid w:val="0B1C3A38"/>
    <w:rsid w:val="0B1F0074"/>
    <w:rsid w:val="0B1F7B1F"/>
    <w:rsid w:val="0B2C36F1"/>
    <w:rsid w:val="0B2E3315"/>
    <w:rsid w:val="0B3E75E6"/>
    <w:rsid w:val="0B417345"/>
    <w:rsid w:val="0B423B9F"/>
    <w:rsid w:val="0B4D1E43"/>
    <w:rsid w:val="0B4D3BF1"/>
    <w:rsid w:val="0B510D02"/>
    <w:rsid w:val="0B513541"/>
    <w:rsid w:val="0B53227B"/>
    <w:rsid w:val="0B5D1B3B"/>
    <w:rsid w:val="0B602E61"/>
    <w:rsid w:val="0B626F71"/>
    <w:rsid w:val="0B652A83"/>
    <w:rsid w:val="0B6D4294"/>
    <w:rsid w:val="0B8E5D35"/>
    <w:rsid w:val="0B923F4E"/>
    <w:rsid w:val="0B971310"/>
    <w:rsid w:val="0B9E1294"/>
    <w:rsid w:val="0BA0659B"/>
    <w:rsid w:val="0BAF3C5A"/>
    <w:rsid w:val="0BBB4168"/>
    <w:rsid w:val="0BC26F6A"/>
    <w:rsid w:val="0BC55E7E"/>
    <w:rsid w:val="0BCD6AE0"/>
    <w:rsid w:val="0BD27BF6"/>
    <w:rsid w:val="0BD63095"/>
    <w:rsid w:val="0BD643AC"/>
    <w:rsid w:val="0BDC2EAF"/>
    <w:rsid w:val="0BDC5E22"/>
    <w:rsid w:val="0BE502CE"/>
    <w:rsid w:val="0BEA0031"/>
    <w:rsid w:val="0BF12E40"/>
    <w:rsid w:val="0BFE1B0E"/>
    <w:rsid w:val="0C0B13B7"/>
    <w:rsid w:val="0C0B644C"/>
    <w:rsid w:val="0C140339"/>
    <w:rsid w:val="0C261C3F"/>
    <w:rsid w:val="0C2A5CE1"/>
    <w:rsid w:val="0C2D57D1"/>
    <w:rsid w:val="0C3015BD"/>
    <w:rsid w:val="0C357EF3"/>
    <w:rsid w:val="0C3B3C7D"/>
    <w:rsid w:val="0C3F0DB3"/>
    <w:rsid w:val="0C3F14E5"/>
    <w:rsid w:val="0C4C6224"/>
    <w:rsid w:val="0C4D7C21"/>
    <w:rsid w:val="0C512465"/>
    <w:rsid w:val="0C5821E5"/>
    <w:rsid w:val="0C5B0590"/>
    <w:rsid w:val="0C5E0CE0"/>
    <w:rsid w:val="0C602E8E"/>
    <w:rsid w:val="0C67573A"/>
    <w:rsid w:val="0C6A02C5"/>
    <w:rsid w:val="0C7E602C"/>
    <w:rsid w:val="0C822728"/>
    <w:rsid w:val="0C903D00"/>
    <w:rsid w:val="0C9078FD"/>
    <w:rsid w:val="0C923886"/>
    <w:rsid w:val="0C9C6CC3"/>
    <w:rsid w:val="0CA62759"/>
    <w:rsid w:val="0CA75583"/>
    <w:rsid w:val="0CAA5073"/>
    <w:rsid w:val="0CAB2EAE"/>
    <w:rsid w:val="0CB4643F"/>
    <w:rsid w:val="0CB86602"/>
    <w:rsid w:val="0CC04897"/>
    <w:rsid w:val="0CC2416B"/>
    <w:rsid w:val="0CC312A6"/>
    <w:rsid w:val="0CC818C6"/>
    <w:rsid w:val="0CD329F2"/>
    <w:rsid w:val="0CDF4D1D"/>
    <w:rsid w:val="0CED2886"/>
    <w:rsid w:val="0CF12BD9"/>
    <w:rsid w:val="0CFB50B8"/>
    <w:rsid w:val="0D004C93"/>
    <w:rsid w:val="0D04104B"/>
    <w:rsid w:val="0D042A38"/>
    <w:rsid w:val="0D044784"/>
    <w:rsid w:val="0D080D27"/>
    <w:rsid w:val="0D1C3CD3"/>
    <w:rsid w:val="0D1C4BE6"/>
    <w:rsid w:val="0D206660"/>
    <w:rsid w:val="0D2431CC"/>
    <w:rsid w:val="0D2E4FF1"/>
    <w:rsid w:val="0D2F0B75"/>
    <w:rsid w:val="0D395874"/>
    <w:rsid w:val="0D3A33DE"/>
    <w:rsid w:val="0D3F4664"/>
    <w:rsid w:val="0D4373BF"/>
    <w:rsid w:val="0D476841"/>
    <w:rsid w:val="0D4E6AD0"/>
    <w:rsid w:val="0D51729D"/>
    <w:rsid w:val="0D5437E3"/>
    <w:rsid w:val="0D55381E"/>
    <w:rsid w:val="0D621C7D"/>
    <w:rsid w:val="0D6B7290"/>
    <w:rsid w:val="0D731909"/>
    <w:rsid w:val="0D7C5465"/>
    <w:rsid w:val="0D7D4F11"/>
    <w:rsid w:val="0D804980"/>
    <w:rsid w:val="0D8060B9"/>
    <w:rsid w:val="0D814B2B"/>
    <w:rsid w:val="0D884641"/>
    <w:rsid w:val="0D8C1EAD"/>
    <w:rsid w:val="0D8D29CB"/>
    <w:rsid w:val="0D914EAB"/>
    <w:rsid w:val="0D9708B7"/>
    <w:rsid w:val="0D9773A6"/>
    <w:rsid w:val="0D9A583E"/>
    <w:rsid w:val="0DCC5D06"/>
    <w:rsid w:val="0DD31838"/>
    <w:rsid w:val="0DDB093B"/>
    <w:rsid w:val="0DF43AC6"/>
    <w:rsid w:val="0DF5231E"/>
    <w:rsid w:val="0E08610B"/>
    <w:rsid w:val="0E0B37BA"/>
    <w:rsid w:val="0E0B56A6"/>
    <w:rsid w:val="0E0C69F8"/>
    <w:rsid w:val="0E1647BE"/>
    <w:rsid w:val="0E1704E7"/>
    <w:rsid w:val="0E1C1286"/>
    <w:rsid w:val="0E233E16"/>
    <w:rsid w:val="0E264AD7"/>
    <w:rsid w:val="0E2D4DDA"/>
    <w:rsid w:val="0E317065"/>
    <w:rsid w:val="0E3A233F"/>
    <w:rsid w:val="0E3B7C2C"/>
    <w:rsid w:val="0E3F3599"/>
    <w:rsid w:val="0E403D95"/>
    <w:rsid w:val="0E432465"/>
    <w:rsid w:val="0E455B16"/>
    <w:rsid w:val="0E501446"/>
    <w:rsid w:val="0E5338DB"/>
    <w:rsid w:val="0E576B35"/>
    <w:rsid w:val="0E5A44C6"/>
    <w:rsid w:val="0E5D2789"/>
    <w:rsid w:val="0E63372C"/>
    <w:rsid w:val="0E73034D"/>
    <w:rsid w:val="0E75128A"/>
    <w:rsid w:val="0E77676A"/>
    <w:rsid w:val="0E7D1AF3"/>
    <w:rsid w:val="0E802B47"/>
    <w:rsid w:val="0E8C5D73"/>
    <w:rsid w:val="0E916475"/>
    <w:rsid w:val="0E9953A0"/>
    <w:rsid w:val="0EA919BB"/>
    <w:rsid w:val="0EB23931"/>
    <w:rsid w:val="0EBC4BEA"/>
    <w:rsid w:val="0EBE0962"/>
    <w:rsid w:val="0EC73CBB"/>
    <w:rsid w:val="0ED6529C"/>
    <w:rsid w:val="0EDC19AC"/>
    <w:rsid w:val="0EDE2DB2"/>
    <w:rsid w:val="0EE24651"/>
    <w:rsid w:val="0EF2177B"/>
    <w:rsid w:val="0EF45C83"/>
    <w:rsid w:val="0EF820C6"/>
    <w:rsid w:val="0EF82834"/>
    <w:rsid w:val="0F0A5C76"/>
    <w:rsid w:val="0F0D1568"/>
    <w:rsid w:val="0F114F36"/>
    <w:rsid w:val="0F13775A"/>
    <w:rsid w:val="0F1E7653"/>
    <w:rsid w:val="0F226417"/>
    <w:rsid w:val="0F244851"/>
    <w:rsid w:val="0F2F5B7D"/>
    <w:rsid w:val="0F331350"/>
    <w:rsid w:val="0F370A03"/>
    <w:rsid w:val="0F397201"/>
    <w:rsid w:val="0F3A26DF"/>
    <w:rsid w:val="0F3F67AD"/>
    <w:rsid w:val="0F44355D"/>
    <w:rsid w:val="0F4B3300"/>
    <w:rsid w:val="0F4E0349"/>
    <w:rsid w:val="0F4F4F84"/>
    <w:rsid w:val="0F5F30F9"/>
    <w:rsid w:val="0F5F45FE"/>
    <w:rsid w:val="0F651213"/>
    <w:rsid w:val="0F701672"/>
    <w:rsid w:val="0F824086"/>
    <w:rsid w:val="0F8E2A2A"/>
    <w:rsid w:val="0F905A11"/>
    <w:rsid w:val="0F917E25"/>
    <w:rsid w:val="0F9A112B"/>
    <w:rsid w:val="0FA24F51"/>
    <w:rsid w:val="0FA76834"/>
    <w:rsid w:val="0FAF5A67"/>
    <w:rsid w:val="0FB15AF2"/>
    <w:rsid w:val="0FC57BC1"/>
    <w:rsid w:val="0FC91429"/>
    <w:rsid w:val="0FD14473"/>
    <w:rsid w:val="0FD52407"/>
    <w:rsid w:val="0FD6042B"/>
    <w:rsid w:val="0FD75BE1"/>
    <w:rsid w:val="0FD839D7"/>
    <w:rsid w:val="0FE37845"/>
    <w:rsid w:val="0FE443F8"/>
    <w:rsid w:val="0FF112E6"/>
    <w:rsid w:val="0FFC202D"/>
    <w:rsid w:val="10042CED"/>
    <w:rsid w:val="10127F12"/>
    <w:rsid w:val="101637E3"/>
    <w:rsid w:val="101C207C"/>
    <w:rsid w:val="10234F21"/>
    <w:rsid w:val="10246EEB"/>
    <w:rsid w:val="10253997"/>
    <w:rsid w:val="1025513D"/>
    <w:rsid w:val="10304BDC"/>
    <w:rsid w:val="103212D6"/>
    <w:rsid w:val="10373296"/>
    <w:rsid w:val="103A04BC"/>
    <w:rsid w:val="103D01E7"/>
    <w:rsid w:val="104F7859"/>
    <w:rsid w:val="1053332C"/>
    <w:rsid w:val="1054157E"/>
    <w:rsid w:val="105B6408"/>
    <w:rsid w:val="105C4A36"/>
    <w:rsid w:val="105C6685"/>
    <w:rsid w:val="105E064F"/>
    <w:rsid w:val="10602090"/>
    <w:rsid w:val="10660ED0"/>
    <w:rsid w:val="106624F5"/>
    <w:rsid w:val="106D2B6E"/>
    <w:rsid w:val="106D2F64"/>
    <w:rsid w:val="10757A53"/>
    <w:rsid w:val="107D3D12"/>
    <w:rsid w:val="107F79D4"/>
    <w:rsid w:val="10800EB1"/>
    <w:rsid w:val="10805CFF"/>
    <w:rsid w:val="1081177B"/>
    <w:rsid w:val="10861954"/>
    <w:rsid w:val="10890B53"/>
    <w:rsid w:val="108B0D18"/>
    <w:rsid w:val="1090553E"/>
    <w:rsid w:val="109221F0"/>
    <w:rsid w:val="109F0A7A"/>
    <w:rsid w:val="10A43CE3"/>
    <w:rsid w:val="10A66261"/>
    <w:rsid w:val="10A976B6"/>
    <w:rsid w:val="10AA3894"/>
    <w:rsid w:val="10AD1C6B"/>
    <w:rsid w:val="10B63710"/>
    <w:rsid w:val="10B85FB1"/>
    <w:rsid w:val="10CE7E35"/>
    <w:rsid w:val="10D77ADC"/>
    <w:rsid w:val="10DA5C86"/>
    <w:rsid w:val="10E943BC"/>
    <w:rsid w:val="10EB73E2"/>
    <w:rsid w:val="10EF63C9"/>
    <w:rsid w:val="10F0334D"/>
    <w:rsid w:val="10F070CC"/>
    <w:rsid w:val="10F10820"/>
    <w:rsid w:val="11056D1C"/>
    <w:rsid w:val="1107004B"/>
    <w:rsid w:val="110A2074"/>
    <w:rsid w:val="1110186D"/>
    <w:rsid w:val="11160F29"/>
    <w:rsid w:val="11196E08"/>
    <w:rsid w:val="111B7950"/>
    <w:rsid w:val="111C2F7A"/>
    <w:rsid w:val="111F55E6"/>
    <w:rsid w:val="112278CE"/>
    <w:rsid w:val="112D098E"/>
    <w:rsid w:val="112F78F5"/>
    <w:rsid w:val="11367DC2"/>
    <w:rsid w:val="113972EC"/>
    <w:rsid w:val="113D2E58"/>
    <w:rsid w:val="11420077"/>
    <w:rsid w:val="11427629"/>
    <w:rsid w:val="11442367"/>
    <w:rsid w:val="115B409D"/>
    <w:rsid w:val="11636B89"/>
    <w:rsid w:val="116577BB"/>
    <w:rsid w:val="11665CA1"/>
    <w:rsid w:val="116D027E"/>
    <w:rsid w:val="116E2B13"/>
    <w:rsid w:val="116E48C1"/>
    <w:rsid w:val="11704476"/>
    <w:rsid w:val="11716160"/>
    <w:rsid w:val="11717F0E"/>
    <w:rsid w:val="11733C86"/>
    <w:rsid w:val="117702AA"/>
    <w:rsid w:val="11772560"/>
    <w:rsid w:val="11795309"/>
    <w:rsid w:val="117B2B3A"/>
    <w:rsid w:val="117C4140"/>
    <w:rsid w:val="117D3A12"/>
    <w:rsid w:val="117D498E"/>
    <w:rsid w:val="118B5473"/>
    <w:rsid w:val="11991213"/>
    <w:rsid w:val="11B031DE"/>
    <w:rsid w:val="11BA16B2"/>
    <w:rsid w:val="11C54766"/>
    <w:rsid w:val="11D263DB"/>
    <w:rsid w:val="11FC6D2B"/>
    <w:rsid w:val="11FE347A"/>
    <w:rsid w:val="120140F9"/>
    <w:rsid w:val="120312BA"/>
    <w:rsid w:val="1211524D"/>
    <w:rsid w:val="1217032A"/>
    <w:rsid w:val="12174B5B"/>
    <w:rsid w:val="121E3073"/>
    <w:rsid w:val="12281213"/>
    <w:rsid w:val="122B4561"/>
    <w:rsid w:val="122D2087"/>
    <w:rsid w:val="122F22A3"/>
    <w:rsid w:val="12311994"/>
    <w:rsid w:val="1238478B"/>
    <w:rsid w:val="123C676E"/>
    <w:rsid w:val="123D6042"/>
    <w:rsid w:val="12465EF7"/>
    <w:rsid w:val="124E7455"/>
    <w:rsid w:val="12504999"/>
    <w:rsid w:val="125B755A"/>
    <w:rsid w:val="12647A72"/>
    <w:rsid w:val="12655CC4"/>
    <w:rsid w:val="126850EC"/>
    <w:rsid w:val="126B6379"/>
    <w:rsid w:val="126E03C3"/>
    <w:rsid w:val="1277056A"/>
    <w:rsid w:val="12816876"/>
    <w:rsid w:val="1283436C"/>
    <w:rsid w:val="1283439D"/>
    <w:rsid w:val="12844F0A"/>
    <w:rsid w:val="129548B6"/>
    <w:rsid w:val="12977E48"/>
    <w:rsid w:val="12995D7D"/>
    <w:rsid w:val="129C720C"/>
    <w:rsid w:val="12A7303C"/>
    <w:rsid w:val="12B409FA"/>
    <w:rsid w:val="12BF64C2"/>
    <w:rsid w:val="12CD4442"/>
    <w:rsid w:val="12CF6D35"/>
    <w:rsid w:val="12D65128"/>
    <w:rsid w:val="12E56E05"/>
    <w:rsid w:val="12E666D9"/>
    <w:rsid w:val="12EE6E5C"/>
    <w:rsid w:val="12FD248B"/>
    <w:rsid w:val="130627D3"/>
    <w:rsid w:val="130628D8"/>
    <w:rsid w:val="130638C9"/>
    <w:rsid w:val="130759B1"/>
    <w:rsid w:val="13091A27"/>
    <w:rsid w:val="13203999"/>
    <w:rsid w:val="133550B1"/>
    <w:rsid w:val="13407A72"/>
    <w:rsid w:val="134551AA"/>
    <w:rsid w:val="134E048A"/>
    <w:rsid w:val="135235B1"/>
    <w:rsid w:val="13525B1D"/>
    <w:rsid w:val="13530945"/>
    <w:rsid w:val="135875D7"/>
    <w:rsid w:val="13632FD0"/>
    <w:rsid w:val="136D2959"/>
    <w:rsid w:val="1370147F"/>
    <w:rsid w:val="137410C4"/>
    <w:rsid w:val="13797D99"/>
    <w:rsid w:val="137B7D51"/>
    <w:rsid w:val="13875358"/>
    <w:rsid w:val="13935AB5"/>
    <w:rsid w:val="1394392D"/>
    <w:rsid w:val="13951726"/>
    <w:rsid w:val="13957A37"/>
    <w:rsid w:val="139A439A"/>
    <w:rsid w:val="139E304F"/>
    <w:rsid w:val="13A7230D"/>
    <w:rsid w:val="13B222C3"/>
    <w:rsid w:val="13BA63FA"/>
    <w:rsid w:val="13BB7B66"/>
    <w:rsid w:val="13C06723"/>
    <w:rsid w:val="13CF183A"/>
    <w:rsid w:val="13E4673A"/>
    <w:rsid w:val="13E53D41"/>
    <w:rsid w:val="13E72483"/>
    <w:rsid w:val="13E77819"/>
    <w:rsid w:val="13E86A02"/>
    <w:rsid w:val="13F10F2A"/>
    <w:rsid w:val="13FF49F4"/>
    <w:rsid w:val="140E2363"/>
    <w:rsid w:val="141B298B"/>
    <w:rsid w:val="14294A19"/>
    <w:rsid w:val="14294B5C"/>
    <w:rsid w:val="143503AF"/>
    <w:rsid w:val="14396509"/>
    <w:rsid w:val="144D5224"/>
    <w:rsid w:val="14527A05"/>
    <w:rsid w:val="14531B4D"/>
    <w:rsid w:val="145E4DF3"/>
    <w:rsid w:val="14613BF3"/>
    <w:rsid w:val="14692EA7"/>
    <w:rsid w:val="146F0898"/>
    <w:rsid w:val="147C10A3"/>
    <w:rsid w:val="147D4A07"/>
    <w:rsid w:val="148D1503"/>
    <w:rsid w:val="149038C9"/>
    <w:rsid w:val="14946802"/>
    <w:rsid w:val="14A02886"/>
    <w:rsid w:val="14A130E7"/>
    <w:rsid w:val="14A267A2"/>
    <w:rsid w:val="14A44572"/>
    <w:rsid w:val="14AC691B"/>
    <w:rsid w:val="14B61946"/>
    <w:rsid w:val="14C660FE"/>
    <w:rsid w:val="14C91703"/>
    <w:rsid w:val="14DB04C0"/>
    <w:rsid w:val="14DD2C3C"/>
    <w:rsid w:val="14DF5A0D"/>
    <w:rsid w:val="14F015B1"/>
    <w:rsid w:val="15015A4D"/>
    <w:rsid w:val="1514752E"/>
    <w:rsid w:val="151C17D3"/>
    <w:rsid w:val="151F02B8"/>
    <w:rsid w:val="152A6D51"/>
    <w:rsid w:val="15306441"/>
    <w:rsid w:val="15325C06"/>
    <w:rsid w:val="15337BD3"/>
    <w:rsid w:val="15353F92"/>
    <w:rsid w:val="153D0016"/>
    <w:rsid w:val="15406095"/>
    <w:rsid w:val="154D0C92"/>
    <w:rsid w:val="155344FA"/>
    <w:rsid w:val="155A6BB7"/>
    <w:rsid w:val="155D7762"/>
    <w:rsid w:val="156644BC"/>
    <w:rsid w:val="157849EB"/>
    <w:rsid w:val="15793445"/>
    <w:rsid w:val="15825CA2"/>
    <w:rsid w:val="15834B5D"/>
    <w:rsid w:val="159E09E1"/>
    <w:rsid w:val="15A9236C"/>
    <w:rsid w:val="15B4528F"/>
    <w:rsid w:val="15C2342E"/>
    <w:rsid w:val="15CA4620"/>
    <w:rsid w:val="15D05B4B"/>
    <w:rsid w:val="15D4540B"/>
    <w:rsid w:val="15D5552B"/>
    <w:rsid w:val="15D748F3"/>
    <w:rsid w:val="15E213DA"/>
    <w:rsid w:val="15E8011F"/>
    <w:rsid w:val="15E92769"/>
    <w:rsid w:val="15E97757"/>
    <w:rsid w:val="15ED7C1A"/>
    <w:rsid w:val="15FB142D"/>
    <w:rsid w:val="160550C9"/>
    <w:rsid w:val="16076972"/>
    <w:rsid w:val="16087E1D"/>
    <w:rsid w:val="160C2AF1"/>
    <w:rsid w:val="160C6457"/>
    <w:rsid w:val="16147CFF"/>
    <w:rsid w:val="161D0664"/>
    <w:rsid w:val="16236B8C"/>
    <w:rsid w:val="16240461"/>
    <w:rsid w:val="16282F80"/>
    <w:rsid w:val="16317A11"/>
    <w:rsid w:val="163F34B3"/>
    <w:rsid w:val="16467BBB"/>
    <w:rsid w:val="16477D89"/>
    <w:rsid w:val="164C3300"/>
    <w:rsid w:val="164D719B"/>
    <w:rsid w:val="165507FC"/>
    <w:rsid w:val="165F6ECF"/>
    <w:rsid w:val="1667601C"/>
    <w:rsid w:val="166B756E"/>
    <w:rsid w:val="16774218"/>
    <w:rsid w:val="167B0283"/>
    <w:rsid w:val="167F30CD"/>
    <w:rsid w:val="16824B96"/>
    <w:rsid w:val="16851CD0"/>
    <w:rsid w:val="16857503"/>
    <w:rsid w:val="16905AA1"/>
    <w:rsid w:val="16935838"/>
    <w:rsid w:val="16940FBF"/>
    <w:rsid w:val="16943AA7"/>
    <w:rsid w:val="16A469D8"/>
    <w:rsid w:val="16A80D4A"/>
    <w:rsid w:val="16A8493F"/>
    <w:rsid w:val="16B971D8"/>
    <w:rsid w:val="16BC7326"/>
    <w:rsid w:val="16CA07EC"/>
    <w:rsid w:val="16CB6312"/>
    <w:rsid w:val="16CD3D3A"/>
    <w:rsid w:val="16D42290"/>
    <w:rsid w:val="16F77107"/>
    <w:rsid w:val="16FC68BB"/>
    <w:rsid w:val="16FE44DA"/>
    <w:rsid w:val="16FF7D6A"/>
    <w:rsid w:val="170008B5"/>
    <w:rsid w:val="1703785A"/>
    <w:rsid w:val="171014EC"/>
    <w:rsid w:val="17141CB3"/>
    <w:rsid w:val="17172807"/>
    <w:rsid w:val="171F0B4E"/>
    <w:rsid w:val="172634B4"/>
    <w:rsid w:val="17265757"/>
    <w:rsid w:val="17321EED"/>
    <w:rsid w:val="174943BB"/>
    <w:rsid w:val="174C1201"/>
    <w:rsid w:val="17530D90"/>
    <w:rsid w:val="1756640B"/>
    <w:rsid w:val="175F3295"/>
    <w:rsid w:val="17621C1E"/>
    <w:rsid w:val="176D0329"/>
    <w:rsid w:val="17701D14"/>
    <w:rsid w:val="17735226"/>
    <w:rsid w:val="177558E0"/>
    <w:rsid w:val="177B7D38"/>
    <w:rsid w:val="177C7BD7"/>
    <w:rsid w:val="177E15D6"/>
    <w:rsid w:val="178269DF"/>
    <w:rsid w:val="17854713"/>
    <w:rsid w:val="17954F7B"/>
    <w:rsid w:val="1797736D"/>
    <w:rsid w:val="17982698"/>
    <w:rsid w:val="179A6980"/>
    <w:rsid w:val="17A252C5"/>
    <w:rsid w:val="17AF37EC"/>
    <w:rsid w:val="17B22315"/>
    <w:rsid w:val="17CC6F98"/>
    <w:rsid w:val="17D47448"/>
    <w:rsid w:val="17D64F6F"/>
    <w:rsid w:val="17DB29DD"/>
    <w:rsid w:val="17DC0311"/>
    <w:rsid w:val="17DF23C2"/>
    <w:rsid w:val="17E23913"/>
    <w:rsid w:val="17E83011"/>
    <w:rsid w:val="17F217FD"/>
    <w:rsid w:val="17F22105"/>
    <w:rsid w:val="17F6044A"/>
    <w:rsid w:val="17F84EE5"/>
    <w:rsid w:val="17FD17A2"/>
    <w:rsid w:val="17FE661E"/>
    <w:rsid w:val="18034101"/>
    <w:rsid w:val="18047D2E"/>
    <w:rsid w:val="180C0990"/>
    <w:rsid w:val="180D30CD"/>
    <w:rsid w:val="181A30AD"/>
    <w:rsid w:val="18200EA6"/>
    <w:rsid w:val="18266844"/>
    <w:rsid w:val="18283784"/>
    <w:rsid w:val="18345DBB"/>
    <w:rsid w:val="18354804"/>
    <w:rsid w:val="184E28D4"/>
    <w:rsid w:val="1854746C"/>
    <w:rsid w:val="185A4886"/>
    <w:rsid w:val="186B60FA"/>
    <w:rsid w:val="187D188E"/>
    <w:rsid w:val="187F73B4"/>
    <w:rsid w:val="188649C8"/>
    <w:rsid w:val="18951CDE"/>
    <w:rsid w:val="18982224"/>
    <w:rsid w:val="189C42D4"/>
    <w:rsid w:val="189E050F"/>
    <w:rsid w:val="189F2BE9"/>
    <w:rsid w:val="189F5628"/>
    <w:rsid w:val="189F624C"/>
    <w:rsid w:val="18AB6EA5"/>
    <w:rsid w:val="18AD3F21"/>
    <w:rsid w:val="18AD4E2C"/>
    <w:rsid w:val="18AE7C99"/>
    <w:rsid w:val="18B23DCD"/>
    <w:rsid w:val="18B518AA"/>
    <w:rsid w:val="18B87A12"/>
    <w:rsid w:val="18B917D9"/>
    <w:rsid w:val="18BB43D1"/>
    <w:rsid w:val="18BD7EDC"/>
    <w:rsid w:val="18C14848"/>
    <w:rsid w:val="18C33745"/>
    <w:rsid w:val="18CB084B"/>
    <w:rsid w:val="18D314AE"/>
    <w:rsid w:val="18D55226"/>
    <w:rsid w:val="18E82E10"/>
    <w:rsid w:val="18EA59CA"/>
    <w:rsid w:val="18EE59BE"/>
    <w:rsid w:val="18FA5D0B"/>
    <w:rsid w:val="19000E35"/>
    <w:rsid w:val="190938C6"/>
    <w:rsid w:val="19154EBE"/>
    <w:rsid w:val="19197809"/>
    <w:rsid w:val="19206D88"/>
    <w:rsid w:val="192A4ED5"/>
    <w:rsid w:val="19385242"/>
    <w:rsid w:val="193876BA"/>
    <w:rsid w:val="193D1A67"/>
    <w:rsid w:val="19560718"/>
    <w:rsid w:val="195E033A"/>
    <w:rsid w:val="19626E0C"/>
    <w:rsid w:val="196374B8"/>
    <w:rsid w:val="19747E21"/>
    <w:rsid w:val="1977160D"/>
    <w:rsid w:val="198F1879"/>
    <w:rsid w:val="19A50196"/>
    <w:rsid w:val="19A70069"/>
    <w:rsid w:val="19BD7EE7"/>
    <w:rsid w:val="19C02579"/>
    <w:rsid w:val="19C81D4F"/>
    <w:rsid w:val="19CC03D7"/>
    <w:rsid w:val="19D9067E"/>
    <w:rsid w:val="19DA449B"/>
    <w:rsid w:val="19DB2208"/>
    <w:rsid w:val="19DB321C"/>
    <w:rsid w:val="19DE5E98"/>
    <w:rsid w:val="19E67114"/>
    <w:rsid w:val="19E74BB9"/>
    <w:rsid w:val="19EC2827"/>
    <w:rsid w:val="19F361F6"/>
    <w:rsid w:val="19F510CE"/>
    <w:rsid w:val="1A11625E"/>
    <w:rsid w:val="1A1A5AAF"/>
    <w:rsid w:val="1A1B4EBB"/>
    <w:rsid w:val="1A1C66C0"/>
    <w:rsid w:val="1A277D03"/>
    <w:rsid w:val="1A2C356C"/>
    <w:rsid w:val="1A3537A8"/>
    <w:rsid w:val="1A3C0202"/>
    <w:rsid w:val="1A3D2D94"/>
    <w:rsid w:val="1A3F504D"/>
    <w:rsid w:val="1A404DEA"/>
    <w:rsid w:val="1A42393B"/>
    <w:rsid w:val="1A47372A"/>
    <w:rsid w:val="1A4E4612"/>
    <w:rsid w:val="1A5605E9"/>
    <w:rsid w:val="1A584361"/>
    <w:rsid w:val="1A6A0F57"/>
    <w:rsid w:val="1A6A3BC7"/>
    <w:rsid w:val="1A6A7ADF"/>
    <w:rsid w:val="1A701673"/>
    <w:rsid w:val="1A723FB0"/>
    <w:rsid w:val="1A7F5382"/>
    <w:rsid w:val="1A842130"/>
    <w:rsid w:val="1A8707A2"/>
    <w:rsid w:val="1A875291"/>
    <w:rsid w:val="1A8B1033"/>
    <w:rsid w:val="1A8C7B66"/>
    <w:rsid w:val="1AA350E9"/>
    <w:rsid w:val="1AAC1FB7"/>
    <w:rsid w:val="1AAD45DE"/>
    <w:rsid w:val="1ABC76B4"/>
    <w:rsid w:val="1ABD7436"/>
    <w:rsid w:val="1ABF2F84"/>
    <w:rsid w:val="1AC86483"/>
    <w:rsid w:val="1AD20157"/>
    <w:rsid w:val="1AD2177C"/>
    <w:rsid w:val="1AD559B1"/>
    <w:rsid w:val="1AD8269C"/>
    <w:rsid w:val="1ADB6959"/>
    <w:rsid w:val="1AEB4D0D"/>
    <w:rsid w:val="1AEC20FD"/>
    <w:rsid w:val="1AED534D"/>
    <w:rsid w:val="1AFC331B"/>
    <w:rsid w:val="1AFD5A52"/>
    <w:rsid w:val="1B0005E6"/>
    <w:rsid w:val="1B046F80"/>
    <w:rsid w:val="1B223BBD"/>
    <w:rsid w:val="1B2B0E96"/>
    <w:rsid w:val="1B3267B5"/>
    <w:rsid w:val="1B3F1986"/>
    <w:rsid w:val="1B40161D"/>
    <w:rsid w:val="1B4346C9"/>
    <w:rsid w:val="1B441859"/>
    <w:rsid w:val="1B537EA8"/>
    <w:rsid w:val="1B5C03C7"/>
    <w:rsid w:val="1B627F83"/>
    <w:rsid w:val="1B6606B1"/>
    <w:rsid w:val="1B693A6A"/>
    <w:rsid w:val="1B6D57DA"/>
    <w:rsid w:val="1B7623CA"/>
    <w:rsid w:val="1B8C007E"/>
    <w:rsid w:val="1B90229E"/>
    <w:rsid w:val="1B940450"/>
    <w:rsid w:val="1B961E93"/>
    <w:rsid w:val="1B965141"/>
    <w:rsid w:val="1B9D52F5"/>
    <w:rsid w:val="1BAA0FEA"/>
    <w:rsid w:val="1BAF532C"/>
    <w:rsid w:val="1BB83320"/>
    <w:rsid w:val="1BB83D63"/>
    <w:rsid w:val="1BC14E44"/>
    <w:rsid w:val="1BD01CD5"/>
    <w:rsid w:val="1BDB39AC"/>
    <w:rsid w:val="1BDF4813"/>
    <w:rsid w:val="1BE217CF"/>
    <w:rsid w:val="1BE278D1"/>
    <w:rsid w:val="1BEC092D"/>
    <w:rsid w:val="1BEF424D"/>
    <w:rsid w:val="1BF921D0"/>
    <w:rsid w:val="1C047A3E"/>
    <w:rsid w:val="1C054074"/>
    <w:rsid w:val="1C055C23"/>
    <w:rsid w:val="1C14750A"/>
    <w:rsid w:val="1C346BD0"/>
    <w:rsid w:val="1C3926AD"/>
    <w:rsid w:val="1C3B5CE8"/>
    <w:rsid w:val="1C3B73BC"/>
    <w:rsid w:val="1C470054"/>
    <w:rsid w:val="1C4A0503"/>
    <w:rsid w:val="1C4F3541"/>
    <w:rsid w:val="1C4F54EA"/>
    <w:rsid w:val="1C542D1B"/>
    <w:rsid w:val="1C5D444C"/>
    <w:rsid w:val="1C5E7925"/>
    <w:rsid w:val="1C66093B"/>
    <w:rsid w:val="1C712C07"/>
    <w:rsid w:val="1C725757"/>
    <w:rsid w:val="1C791A8B"/>
    <w:rsid w:val="1C7B4C46"/>
    <w:rsid w:val="1C8256C5"/>
    <w:rsid w:val="1C893E9E"/>
    <w:rsid w:val="1C99742C"/>
    <w:rsid w:val="1CB02232"/>
    <w:rsid w:val="1CB3587E"/>
    <w:rsid w:val="1CB97944"/>
    <w:rsid w:val="1CC01D49"/>
    <w:rsid w:val="1CC21DD9"/>
    <w:rsid w:val="1CC61800"/>
    <w:rsid w:val="1CC61A56"/>
    <w:rsid w:val="1CCB1018"/>
    <w:rsid w:val="1CDF502D"/>
    <w:rsid w:val="1CE04199"/>
    <w:rsid w:val="1CE123EB"/>
    <w:rsid w:val="1CE42735"/>
    <w:rsid w:val="1CEB4E1C"/>
    <w:rsid w:val="1CED0B4A"/>
    <w:rsid w:val="1CF60774"/>
    <w:rsid w:val="1CF92FCE"/>
    <w:rsid w:val="1CF9709D"/>
    <w:rsid w:val="1CFD070F"/>
    <w:rsid w:val="1CFD2408"/>
    <w:rsid w:val="1D006A40"/>
    <w:rsid w:val="1D024F04"/>
    <w:rsid w:val="1D0406B0"/>
    <w:rsid w:val="1D081E29"/>
    <w:rsid w:val="1D0D1432"/>
    <w:rsid w:val="1D100F23"/>
    <w:rsid w:val="1D1A7DA5"/>
    <w:rsid w:val="1D1B6E43"/>
    <w:rsid w:val="1D227CE5"/>
    <w:rsid w:val="1D28138B"/>
    <w:rsid w:val="1D2B6050"/>
    <w:rsid w:val="1D306ECF"/>
    <w:rsid w:val="1D370902"/>
    <w:rsid w:val="1D3B17B9"/>
    <w:rsid w:val="1D3F0DCA"/>
    <w:rsid w:val="1D4B0507"/>
    <w:rsid w:val="1D507571"/>
    <w:rsid w:val="1D5B1A68"/>
    <w:rsid w:val="1D5E1804"/>
    <w:rsid w:val="1D5F6196"/>
    <w:rsid w:val="1D6132A5"/>
    <w:rsid w:val="1D632E00"/>
    <w:rsid w:val="1D6A6749"/>
    <w:rsid w:val="1D711EA4"/>
    <w:rsid w:val="1D8D2E82"/>
    <w:rsid w:val="1D8E56D5"/>
    <w:rsid w:val="1D9624ED"/>
    <w:rsid w:val="1DAA11A8"/>
    <w:rsid w:val="1DB377EF"/>
    <w:rsid w:val="1DBB3E80"/>
    <w:rsid w:val="1DC21EB6"/>
    <w:rsid w:val="1DC35E4C"/>
    <w:rsid w:val="1DC92F91"/>
    <w:rsid w:val="1DCC0276"/>
    <w:rsid w:val="1DDF0543"/>
    <w:rsid w:val="1DE52A8D"/>
    <w:rsid w:val="1DEA038E"/>
    <w:rsid w:val="1DEA64AB"/>
    <w:rsid w:val="1DEB588C"/>
    <w:rsid w:val="1DEC587F"/>
    <w:rsid w:val="1DF0665E"/>
    <w:rsid w:val="1DF34DCE"/>
    <w:rsid w:val="1DF95513"/>
    <w:rsid w:val="1DFD14A7"/>
    <w:rsid w:val="1E024F95"/>
    <w:rsid w:val="1E036392"/>
    <w:rsid w:val="1E0D6572"/>
    <w:rsid w:val="1E1C3BAB"/>
    <w:rsid w:val="1E1E11FC"/>
    <w:rsid w:val="1E2A40E0"/>
    <w:rsid w:val="1E326C0D"/>
    <w:rsid w:val="1E3B13B1"/>
    <w:rsid w:val="1E4622A4"/>
    <w:rsid w:val="1E48649A"/>
    <w:rsid w:val="1E4C45B8"/>
    <w:rsid w:val="1E4E3E8A"/>
    <w:rsid w:val="1E51274F"/>
    <w:rsid w:val="1E5F5CBE"/>
    <w:rsid w:val="1E6037E4"/>
    <w:rsid w:val="1E646B28"/>
    <w:rsid w:val="1E6813C8"/>
    <w:rsid w:val="1E7100DE"/>
    <w:rsid w:val="1E79724B"/>
    <w:rsid w:val="1E7A43DA"/>
    <w:rsid w:val="1E7C22A5"/>
    <w:rsid w:val="1E810F3A"/>
    <w:rsid w:val="1E833BAF"/>
    <w:rsid w:val="1E837E0D"/>
    <w:rsid w:val="1E933BB9"/>
    <w:rsid w:val="1EAA73FC"/>
    <w:rsid w:val="1EAC4C7B"/>
    <w:rsid w:val="1EAF5DDD"/>
    <w:rsid w:val="1EBB6FC9"/>
    <w:rsid w:val="1EBC0674"/>
    <w:rsid w:val="1EBE6599"/>
    <w:rsid w:val="1EC2624D"/>
    <w:rsid w:val="1ED16490"/>
    <w:rsid w:val="1EDD1822"/>
    <w:rsid w:val="1EDD1BA5"/>
    <w:rsid w:val="1EE75CB3"/>
    <w:rsid w:val="1EE95587"/>
    <w:rsid w:val="1EEE0D32"/>
    <w:rsid w:val="1EFA76E6"/>
    <w:rsid w:val="1EFD1033"/>
    <w:rsid w:val="1F0776F5"/>
    <w:rsid w:val="1F086FE1"/>
    <w:rsid w:val="1F0D30A9"/>
    <w:rsid w:val="1F0F367F"/>
    <w:rsid w:val="1F18000E"/>
    <w:rsid w:val="1F234F3D"/>
    <w:rsid w:val="1F264A2D"/>
    <w:rsid w:val="1F2E3621"/>
    <w:rsid w:val="1F325180"/>
    <w:rsid w:val="1F364180"/>
    <w:rsid w:val="1F4F2073"/>
    <w:rsid w:val="1F502D2F"/>
    <w:rsid w:val="1F5C044F"/>
    <w:rsid w:val="1F5D4C45"/>
    <w:rsid w:val="1F5D59E1"/>
    <w:rsid w:val="1F69532E"/>
    <w:rsid w:val="1F707818"/>
    <w:rsid w:val="1F744F6B"/>
    <w:rsid w:val="1F775289"/>
    <w:rsid w:val="1F7C3AC6"/>
    <w:rsid w:val="1F837219"/>
    <w:rsid w:val="1F841754"/>
    <w:rsid w:val="1F861028"/>
    <w:rsid w:val="1F971487"/>
    <w:rsid w:val="1F9E45C4"/>
    <w:rsid w:val="1FA45FBA"/>
    <w:rsid w:val="1FB23765"/>
    <w:rsid w:val="1FB537E8"/>
    <w:rsid w:val="1FC11EA9"/>
    <w:rsid w:val="1FD55FF6"/>
    <w:rsid w:val="1FE3647B"/>
    <w:rsid w:val="1FE43F4A"/>
    <w:rsid w:val="1FE67B25"/>
    <w:rsid w:val="1FE7539E"/>
    <w:rsid w:val="1FF22B62"/>
    <w:rsid w:val="20057523"/>
    <w:rsid w:val="2010655D"/>
    <w:rsid w:val="20124E89"/>
    <w:rsid w:val="20127DFC"/>
    <w:rsid w:val="201C3916"/>
    <w:rsid w:val="20221C64"/>
    <w:rsid w:val="20241274"/>
    <w:rsid w:val="203F15A8"/>
    <w:rsid w:val="2043260B"/>
    <w:rsid w:val="20502542"/>
    <w:rsid w:val="20563DCA"/>
    <w:rsid w:val="20570DB0"/>
    <w:rsid w:val="205729C5"/>
    <w:rsid w:val="20621A95"/>
    <w:rsid w:val="20650980"/>
    <w:rsid w:val="20671BE0"/>
    <w:rsid w:val="20673947"/>
    <w:rsid w:val="206C46C2"/>
    <w:rsid w:val="20755DFC"/>
    <w:rsid w:val="207924E1"/>
    <w:rsid w:val="207B498E"/>
    <w:rsid w:val="207E2F12"/>
    <w:rsid w:val="207E45D9"/>
    <w:rsid w:val="20880DD0"/>
    <w:rsid w:val="208B3AD2"/>
    <w:rsid w:val="2090680E"/>
    <w:rsid w:val="20963CB8"/>
    <w:rsid w:val="20972A26"/>
    <w:rsid w:val="209C26E3"/>
    <w:rsid w:val="20A65B06"/>
    <w:rsid w:val="20A72CA4"/>
    <w:rsid w:val="20A81A1B"/>
    <w:rsid w:val="20B07FB6"/>
    <w:rsid w:val="20B237F2"/>
    <w:rsid w:val="20B57B58"/>
    <w:rsid w:val="20B646FB"/>
    <w:rsid w:val="20B754CC"/>
    <w:rsid w:val="20B9542D"/>
    <w:rsid w:val="20CB1745"/>
    <w:rsid w:val="20CC6A8D"/>
    <w:rsid w:val="20D64231"/>
    <w:rsid w:val="20DF64AF"/>
    <w:rsid w:val="20E0610C"/>
    <w:rsid w:val="20E57FD0"/>
    <w:rsid w:val="20F326ED"/>
    <w:rsid w:val="20F42FCA"/>
    <w:rsid w:val="20F93B48"/>
    <w:rsid w:val="21051C71"/>
    <w:rsid w:val="21057E7F"/>
    <w:rsid w:val="21077674"/>
    <w:rsid w:val="210C37AF"/>
    <w:rsid w:val="210E6C1E"/>
    <w:rsid w:val="2116462E"/>
    <w:rsid w:val="211B57FD"/>
    <w:rsid w:val="211E41C1"/>
    <w:rsid w:val="21211BF8"/>
    <w:rsid w:val="21252652"/>
    <w:rsid w:val="212C2B03"/>
    <w:rsid w:val="21331AEE"/>
    <w:rsid w:val="213B74B1"/>
    <w:rsid w:val="214928EE"/>
    <w:rsid w:val="214B2529"/>
    <w:rsid w:val="21576224"/>
    <w:rsid w:val="215A2310"/>
    <w:rsid w:val="216211FF"/>
    <w:rsid w:val="218912A4"/>
    <w:rsid w:val="21902632"/>
    <w:rsid w:val="21A57883"/>
    <w:rsid w:val="21A62929"/>
    <w:rsid w:val="21A87E86"/>
    <w:rsid w:val="21AA6514"/>
    <w:rsid w:val="21AD0AEE"/>
    <w:rsid w:val="21AE4FA9"/>
    <w:rsid w:val="21D02A2F"/>
    <w:rsid w:val="21D306AE"/>
    <w:rsid w:val="21D95D87"/>
    <w:rsid w:val="21DE318A"/>
    <w:rsid w:val="21E3011B"/>
    <w:rsid w:val="21ED538F"/>
    <w:rsid w:val="21EF5B80"/>
    <w:rsid w:val="21F20BF7"/>
    <w:rsid w:val="21F44DAC"/>
    <w:rsid w:val="21FA5603"/>
    <w:rsid w:val="21FE134A"/>
    <w:rsid w:val="21FF50C2"/>
    <w:rsid w:val="22022EA1"/>
    <w:rsid w:val="2208666C"/>
    <w:rsid w:val="221B0459"/>
    <w:rsid w:val="221D6DEE"/>
    <w:rsid w:val="2221772E"/>
    <w:rsid w:val="222C1F93"/>
    <w:rsid w:val="222D1A7B"/>
    <w:rsid w:val="22382B76"/>
    <w:rsid w:val="22393715"/>
    <w:rsid w:val="22453220"/>
    <w:rsid w:val="22462793"/>
    <w:rsid w:val="224D407F"/>
    <w:rsid w:val="2252470C"/>
    <w:rsid w:val="22576990"/>
    <w:rsid w:val="22611010"/>
    <w:rsid w:val="226118D9"/>
    <w:rsid w:val="226338A3"/>
    <w:rsid w:val="22711D00"/>
    <w:rsid w:val="228040B3"/>
    <w:rsid w:val="22883434"/>
    <w:rsid w:val="228D76FC"/>
    <w:rsid w:val="2294396B"/>
    <w:rsid w:val="229C246A"/>
    <w:rsid w:val="229F1555"/>
    <w:rsid w:val="22A068A5"/>
    <w:rsid w:val="22A7378F"/>
    <w:rsid w:val="22AB1BF2"/>
    <w:rsid w:val="22AB1C1C"/>
    <w:rsid w:val="22AB44F2"/>
    <w:rsid w:val="22AF19D5"/>
    <w:rsid w:val="22B4351C"/>
    <w:rsid w:val="22BC5FE7"/>
    <w:rsid w:val="22CB1654"/>
    <w:rsid w:val="22E471B1"/>
    <w:rsid w:val="22F26E32"/>
    <w:rsid w:val="22F47480"/>
    <w:rsid w:val="22FC7F13"/>
    <w:rsid w:val="23065D3B"/>
    <w:rsid w:val="230C7842"/>
    <w:rsid w:val="23104980"/>
    <w:rsid w:val="231B4A22"/>
    <w:rsid w:val="231D58D9"/>
    <w:rsid w:val="232036A2"/>
    <w:rsid w:val="2322550C"/>
    <w:rsid w:val="232E5C5F"/>
    <w:rsid w:val="232F503C"/>
    <w:rsid w:val="23363B0B"/>
    <w:rsid w:val="233D3D5B"/>
    <w:rsid w:val="23441F80"/>
    <w:rsid w:val="235B27CC"/>
    <w:rsid w:val="236E0820"/>
    <w:rsid w:val="23781BCA"/>
    <w:rsid w:val="237B37B0"/>
    <w:rsid w:val="23823C9E"/>
    <w:rsid w:val="238F63ED"/>
    <w:rsid w:val="23963804"/>
    <w:rsid w:val="23966F75"/>
    <w:rsid w:val="239E2DA5"/>
    <w:rsid w:val="23D10F61"/>
    <w:rsid w:val="23DE1C48"/>
    <w:rsid w:val="23E20D41"/>
    <w:rsid w:val="23EA4E97"/>
    <w:rsid w:val="23FF1005"/>
    <w:rsid w:val="240210CD"/>
    <w:rsid w:val="2406106C"/>
    <w:rsid w:val="240C1F4D"/>
    <w:rsid w:val="240D6D3D"/>
    <w:rsid w:val="24134E54"/>
    <w:rsid w:val="24156E1F"/>
    <w:rsid w:val="241C1F5B"/>
    <w:rsid w:val="241E5A1E"/>
    <w:rsid w:val="24204D70"/>
    <w:rsid w:val="242157C3"/>
    <w:rsid w:val="24275AAE"/>
    <w:rsid w:val="242E28E2"/>
    <w:rsid w:val="24305A06"/>
    <w:rsid w:val="24314846"/>
    <w:rsid w:val="243E2436"/>
    <w:rsid w:val="24442251"/>
    <w:rsid w:val="244A35AA"/>
    <w:rsid w:val="244D0D42"/>
    <w:rsid w:val="24535786"/>
    <w:rsid w:val="2456015B"/>
    <w:rsid w:val="245E1034"/>
    <w:rsid w:val="246A716A"/>
    <w:rsid w:val="247161BB"/>
    <w:rsid w:val="247C0775"/>
    <w:rsid w:val="24855D52"/>
    <w:rsid w:val="24880C35"/>
    <w:rsid w:val="24895B7F"/>
    <w:rsid w:val="248F3633"/>
    <w:rsid w:val="24956EC9"/>
    <w:rsid w:val="24976CC9"/>
    <w:rsid w:val="249C309C"/>
    <w:rsid w:val="24A93807"/>
    <w:rsid w:val="24B30B11"/>
    <w:rsid w:val="24B61DA0"/>
    <w:rsid w:val="24B77ED6"/>
    <w:rsid w:val="24B93C4E"/>
    <w:rsid w:val="24BF09F7"/>
    <w:rsid w:val="24CA4DE9"/>
    <w:rsid w:val="24CC3981"/>
    <w:rsid w:val="24D3426C"/>
    <w:rsid w:val="24D42836"/>
    <w:rsid w:val="24DC5213"/>
    <w:rsid w:val="24DF6C29"/>
    <w:rsid w:val="24E32A79"/>
    <w:rsid w:val="24E40586"/>
    <w:rsid w:val="24EF35A7"/>
    <w:rsid w:val="24F164AA"/>
    <w:rsid w:val="24F87059"/>
    <w:rsid w:val="24F9645C"/>
    <w:rsid w:val="24FB4266"/>
    <w:rsid w:val="24FD7EA4"/>
    <w:rsid w:val="2500362B"/>
    <w:rsid w:val="25020159"/>
    <w:rsid w:val="25056E93"/>
    <w:rsid w:val="2508745C"/>
    <w:rsid w:val="250939AC"/>
    <w:rsid w:val="250C0222"/>
    <w:rsid w:val="25123C68"/>
    <w:rsid w:val="25205A7B"/>
    <w:rsid w:val="25210113"/>
    <w:rsid w:val="25294591"/>
    <w:rsid w:val="252C04AC"/>
    <w:rsid w:val="252D53FE"/>
    <w:rsid w:val="253D03DB"/>
    <w:rsid w:val="253F4153"/>
    <w:rsid w:val="25413CA5"/>
    <w:rsid w:val="25423CBE"/>
    <w:rsid w:val="25427359"/>
    <w:rsid w:val="25427421"/>
    <w:rsid w:val="2556149D"/>
    <w:rsid w:val="256E27DC"/>
    <w:rsid w:val="25711F5E"/>
    <w:rsid w:val="25870A29"/>
    <w:rsid w:val="25904D91"/>
    <w:rsid w:val="25BF206A"/>
    <w:rsid w:val="25C74A32"/>
    <w:rsid w:val="25CA6327"/>
    <w:rsid w:val="25CC1E99"/>
    <w:rsid w:val="25D6438C"/>
    <w:rsid w:val="25DD6D2C"/>
    <w:rsid w:val="25E371D4"/>
    <w:rsid w:val="25EC2D81"/>
    <w:rsid w:val="25ED78CC"/>
    <w:rsid w:val="25F96F16"/>
    <w:rsid w:val="25FC3382"/>
    <w:rsid w:val="26043737"/>
    <w:rsid w:val="261842E4"/>
    <w:rsid w:val="261C26E6"/>
    <w:rsid w:val="261C5817"/>
    <w:rsid w:val="262338CE"/>
    <w:rsid w:val="262B052D"/>
    <w:rsid w:val="262B46D7"/>
    <w:rsid w:val="262C672A"/>
    <w:rsid w:val="262E1CE6"/>
    <w:rsid w:val="26315261"/>
    <w:rsid w:val="26395046"/>
    <w:rsid w:val="26397B47"/>
    <w:rsid w:val="263B7010"/>
    <w:rsid w:val="26494A86"/>
    <w:rsid w:val="264A7253"/>
    <w:rsid w:val="265765E3"/>
    <w:rsid w:val="26592A7C"/>
    <w:rsid w:val="265952A7"/>
    <w:rsid w:val="265B291F"/>
    <w:rsid w:val="265D6277"/>
    <w:rsid w:val="266068F6"/>
    <w:rsid w:val="266D6A9E"/>
    <w:rsid w:val="267A0832"/>
    <w:rsid w:val="267E7C3C"/>
    <w:rsid w:val="26850176"/>
    <w:rsid w:val="26864004"/>
    <w:rsid w:val="268E39D0"/>
    <w:rsid w:val="269D37B1"/>
    <w:rsid w:val="26A336EE"/>
    <w:rsid w:val="26AA63C4"/>
    <w:rsid w:val="26B07FD0"/>
    <w:rsid w:val="26BE554B"/>
    <w:rsid w:val="26C2164D"/>
    <w:rsid w:val="26C47FF0"/>
    <w:rsid w:val="26C60BCD"/>
    <w:rsid w:val="26CF3B03"/>
    <w:rsid w:val="26D0702D"/>
    <w:rsid w:val="26D263B7"/>
    <w:rsid w:val="26D57D33"/>
    <w:rsid w:val="26D607D1"/>
    <w:rsid w:val="26D703BB"/>
    <w:rsid w:val="26D7520B"/>
    <w:rsid w:val="26E20CF5"/>
    <w:rsid w:val="26F36771"/>
    <w:rsid w:val="26F86CAF"/>
    <w:rsid w:val="26FC7A15"/>
    <w:rsid w:val="271138CD"/>
    <w:rsid w:val="27131007"/>
    <w:rsid w:val="27226A3D"/>
    <w:rsid w:val="27245377"/>
    <w:rsid w:val="27315D1D"/>
    <w:rsid w:val="2732214B"/>
    <w:rsid w:val="27374C7D"/>
    <w:rsid w:val="27466BCE"/>
    <w:rsid w:val="275B4D2E"/>
    <w:rsid w:val="275D4D35"/>
    <w:rsid w:val="27632F91"/>
    <w:rsid w:val="27677452"/>
    <w:rsid w:val="277057A2"/>
    <w:rsid w:val="2771325F"/>
    <w:rsid w:val="277B51EB"/>
    <w:rsid w:val="277D3FBB"/>
    <w:rsid w:val="27852B6C"/>
    <w:rsid w:val="278E2FB5"/>
    <w:rsid w:val="27905D54"/>
    <w:rsid w:val="27910EB2"/>
    <w:rsid w:val="27932311"/>
    <w:rsid w:val="279369D8"/>
    <w:rsid w:val="279A1481"/>
    <w:rsid w:val="27A72BF3"/>
    <w:rsid w:val="27AB3D22"/>
    <w:rsid w:val="27B37E7B"/>
    <w:rsid w:val="27BD1CA7"/>
    <w:rsid w:val="27BD5803"/>
    <w:rsid w:val="27BE26AA"/>
    <w:rsid w:val="27C1122A"/>
    <w:rsid w:val="27C13545"/>
    <w:rsid w:val="27C368BA"/>
    <w:rsid w:val="27CE3795"/>
    <w:rsid w:val="27CE66E9"/>
    <w:rsid w:val="27D00289"/>
    <w:rsid w:val="27D226CF"/>
    <w:rsid w:val="27D52B4D"/>
    <w:rsid w:val="27E17743"/>
    <w:rsid w:val="27E67E6F"/>
    <w:rsid w:val="27E90EC3"/>
    <w:rsid w:val="27EB411E"/>
    <w:rsid w:val="27F154AD"/>
    <w:rsid w:val="28072F22"/>
    <w:rsid w:val="280A2B5C"/>
    <w:rsid w:val="281F304E"/>
    <w:rsid w:val="282569DC"/>
    <w:rsid w:val="282E038C"/>
    <w:rsid w:val="282F3D9F"/>
    <w:rsid w:val="28333D17"/>
    <w:rsid w:val="284353E7"/>
    <w:rsid w:val="28557849"/>
    <w:rsid w:val="28602A0B"/>
    <w:rsid w:val="286363AA"/>
    <w:rsid w:val="286F4AA1"/>
    <w:rsid w:val="286F4F4F"/>
    <w:rsid w:val="287E1436"/>
    <w:rsid w:val="28806E9F"/>
    <w:rsid w:val="28876BFB"/>
    <w:rsid w:val="288A7DDB"/>
    <w:rsid w:val="288F59EC"/>
    <w:rsid w:val="28924EE2"/>
    <w:rsid w:val="28932B31"/>
    <w:rsid w:val="28987C03"/>
    <w:rsid w:val="28A349F9"/>
    <w:rsid w:val="28A45B3B"/>
    <w:rsid w:val="28AB7D5A"/>
    <w:rsid w:val="28B9246E"/>
    <w:rsid w:val="28BD1CFA"/>
    <w:rsid w:val="28C10586"/>
    <w:rsid w:val="28CA01D8"/>
    <w:rsid w:val="28D04587"/>
    <w:rsid w:val="28DC615D"/>
    <w:rsid w:val="28EB3A40"/>
    <w:rsid w:val="28EF5E90"/>
    <w:rsid w:val="28FE567B"/>
    <w:rsid w:val="290E0CC2"/>
    <w:rsid w:val="291458F7"/>
    <w:rsid w:val="29181128"/>
    <w:rsid w:val="29206EB8"/>
    <w:rsid w:val="29284CB9"/>
    <w:rsid w:val="292865D3"/>
    <w:rsid w:val="29292390"/>
    <w:rsid w:val="29333D94"/>
    <w:rsid w:val="29423FA6"/>
    <w:rsid w:val="294E0EBB"/>
    <w:rsid w:val="295108F9"/>
    <w:rsid w:val="29530536"/>
    <w:rsid w:val="29543C0A"/>
    <w:rsid w:val="29595666"/>
    <w:rsid w:val="29641295"/>
    <w:rsid w:val="296A19BB"/>
    <w:rsid w:val="297A75F8"/>
    <w:rsid w:val="297B7724"/>
    <w:rsid w:val="297E3B87"/>
    <w:rsid w:val="297F73C9"/>
    <w:rsid w:val="29874881"/>
    <w:rsid w:val="298E2505"/>
    <w:rsid w:val="2995461C"/>
    <w:rsid w:val="299C6CF1"/>
    <w:rsid w:val="299E0DA7"/>
    <w:rsid w:val="29A02F5F"/>
    <w:rsid w:val="29A053DC"/>
    <w:rsid w:val="29A529F3"/>
    <w:rsid w:val="29A53987"/>
    <w:rsid w:val="29A9603F"/>
    <w:rsid w:val="29B11398"/>
    <w:rsid w:val="29B6518B"/>
    <w:rsid w:val="29B65867"/>
    <w:rsid w:val="29B669AE"/>
    <w:rsid w:val="29CB06AB"/>
    <w:rsid w:val="29D15596"/>
    <w:rsid w:val="29D56A90"/>
    <w:rsid w:val="29E23181"/>
    <w:rsid w:val="29E325E0"/>
    <w:rsid w:val="29E928DF"/>
    <w:rsid w:val="29E93374"/>
    <w:rsid w:val="29EB5E55"/>
    <w:rsid w:val="29F02AF8"/>
    <w:rsid w:val="2A044C46"/>
    <w:rsid w:val="2A054713"/>
    <w:rsid w:val="2A0911D4"/>
    <w:rsid w:val="2A1E3DA8"/>
    <w:rsid w:val="2A2140E0"/>
    <w:rsid w:val="2A231B40"/>
    <w:rsid w:val="2A2735EF"/>
    <w:rsid w:val="2A2C6C70"/>
    <w:rsid w:val="2A2E705E"/>
    <w:rsid w:val="2A314283"/>
    <w:rsid w:val="2A32274B"/>
    <w:rsid w:val="2A372BAA"/>
    <w:rsid w:val="2A420242"/>
    <w:rsid w:val="2A452503"/>
    <w:rsid w:val="2A4975C1"/>
    <w:rsid w:val="2A593414"/>
    <w:rsid w:val="2A5F01E9"/>
    <w:rsid w:val="2A64465C"/>
    <w:rsid w:val="2A6C5B10"/>
    <w:rsid w:val="2A6D12F8"/>
    <w:rsid w:val="2A6D3510"/>
    <w:rsid w:val="2A7368EC"/>
    <w:rsid w:val="2A740380"/>
    <w:rsid w:val="2A810289"/>
    <w:rsid w:val="2A83359C"/>
    <w:rsid w:val="2A8D5961"/>
    <w:rsid w:val="2A8E3487"/>
    <w:rsid w:val="2A9D02D8"/>
    <w:rsid w:val="2A9F5C29"/>
    <w:rsid w:val="2AA35E8D"/>
    <w:rsid w:val="2AA90950"/>
    <w:rsid w:val="2AC05D36"/>
    <w:rsid w:val="2AC247F1"/>
    <w:rsid w:val="2AD41B3D"/>
    <w:rsid w:val="2AD51A4C"/>
    <w:rsid w:val="2AE47B0A"/>
    <w:rsid w:val="2AE57075"/>
    <w:rsid w:val="2AEE2FCE"/>
    <w:rsid w:val="2AF21C68"/>
    <w:rsid w:val="2B005BEA"/>
    <w:rsid w:val="2B046110"/>
    <w:rsid w:val="2B1842D0"/>
    <w:rsid w:val="2B1D4DF6"/>
    <w:rsid w:val="2B2430FD"/>
    <w:rsid w:val="2B42601D"/>
    <w:rsid w:val="2B63365F"/>
    <w:rsid w:val="2B66181C"/>
    <w:rsid w:val="2B663AC1"/>
    <w:rsid w:val="2B674404"/>
    <w:rsid w:val="2B6E5792"/>
    <w:rsid w:val="2B724877"/>
    <w:rsid w:val="2B7669E8"/>
    <w:rsid w:val="2B8116F2"/>
    <w:rsid w:val="2B83097A"/>
    <w:rsid w:val="2B8B3C89"/>
    <w:rsid w:val="2B9D2AF6"/>
    <w:rsid w:val="2B9D45A2"/>
    <w:rsid w:val="2B9F6A8B"/>
    <w:rsid w:val="2BA02310"/>
    <w:rsid w:val="2BA452CB"/>
    <w:rsid w:val="2BA5123D"/>
    <w:rsid w:val="2BA936A8"/>
    <w:rsid w:val="2BA95E0A"/>
    <w:rsid w:val="2BB65650"/>
    <w:rsid w:val="2BB976CD"/>
    <w:rsid w:val="2BBE1B4A"/>
    <w:rsid w:val="2BC902B3"/>
    <w:rsid w:val="2BCA04EF"/>
    <w:rsid w:val="2BD05DA6"/>
    <w:rsid w:val="2BE52DB4"/>
    <w:rsid w:val="2BEB2671"/>
    <w:rsid w:val="2BEC2B5B"/>
    <w:rsid w:val="2BF02146"/>
    <w:rsid w:val="2BF10171"/>
    <w:rsid w:val="2BF13CCD"/>
    <w:rsid w:val="2BF35C97"/>
    <w:rsid w:val="2BFC320D"/>
    <w:rsid w:val="2C025EDA"/>
    <w:rsid w:val="2C0559CB"/>
    <w:rsid w:val="2C063C1D"/>
    <w:rsid w:val="2C12386E"/>
    <w:rsid w:val="2C1443AA"/>
    <w:rsid w:val="2C152CB0"/>
    <w:rsid w:val="2C211517"/>
    <w:rsid w:val="2C2422F5"/>
    <w:rsid w:val="2C251BC9"/>
    <w:rsid w:val="2C2C00BA"/>
    <w:rsid w:val="2C2D017D"/>
    <w:rsid w:val="2C2D1D71"/>
    <w:rsid w:val="2C2E0A7D"/>
    <w:rsid w:val="2C315A5A"/>
    <w:rsid w:val="2C3B46EC"/>
    <w:rsid w:val="2C4617FF"/>
    <w:rsid w:val="2C4B1C25"/>
    <w:rsid w:val="2C570513"/>
    <w:rsid w:val="2C5A7AC4"/>
    <w:rsid w:val="2C5B55EB"/>
    <w:rsid w:val="2C5B7534"/>
    <w:rsid w:val="2C5C4AB0"/>
    <w:rsid w:val="2C68486B"/>
    <w:rsid w:val="2C6941AB"/>
    <w:rsid w:val="2C6D3C9C"/>
    <w:rsid w:val="2C6E2FF3"/>
    <w:rsid w:val="2C6F12FD"/>
    <w:rsid w:val="2C6F5308"/>
    <w:rsid w:val="2C7768C8"/>
    <w:rsid w:val="2C7A413A"/>
    <w:rsid w:val="2C7E2C26"/>
    <w:rsid w:val="2C875551"/>
    <w:rsid w:val="2C8E4C63"/>
    <w:rsid w:val="2CA227DE"/>
    <w:rsid w:val="2CA70915"/>
    <w:rsid w:val="2CC23A90"/>
    <w:rsid w:val="2CD4496E"/>
    <w:rsid w:val="2CD45E58"/>
    <w:rsid w:val="2CD61049"/>
    <w:rsid w:val="2CD72212"/>
    <w:rsid w:val="2CDE7B16"/>
    <w:rsid w:val="2CDF7FCA"/>
    <w:rsid w:val="2CE11F94"/>
    <w:rsid w:val="2CE33F5E"/>
    <w:rsid w:val="2CE546B4"/>
    <w:rsid w:val="2CE81574"/>
    <w:rsid w:val="2CF41466"/>
    <w:rsid w:val="2CF717B7"/>
    <w:rsid w:val="2CFD3A0F"/>
    <w:rsid w:val="2D012C8F"/>
    <w:rsid w:val="2D031F0A"/>
    <w:rsid w:val="2D151C3D"/>
    <w:rsid w:val="2D1903A8"/>
    <w:rsid w:val="2D306A77"/>
    <w:rsid w:val="2D311EE9"/>
    <w:rsid w:val="2D320A41"/>
    <w:rsid w:val="2D336E93"/>
    <w:rsid w:val="2D3809AB"/>
    <w:rsid w:val="2D3B78F6"/>
    <w:rsid w:val="2D3C5A1F"/>
    <w:rsid w:val="2D3D0C82"/>
    <w:rsid w:val="2D436FD4"/>
    <w:rsid w:val="2D465D58"/>
    <w:rsid w:val="2D4D0994"/>
    <w:rsid w:val="2D5269EE"/>
    <w:rsid w:val="2D550DDD"/>
    <w:rsid w:val="2D686211"/>
    <w:rsid w:val="2D6D3908"/>
    <w:rsid w:val="2D780E25"/>
    <w:rsid w:val="2D7B5F44"/>
    <w:rsid w:val="2D865FF5"/>
    <w:rsid w:val="2D880661"/>
    <w:rsid w:val="2D8868B3"/>
    <w:rsid w:val="2D89593F"/>
    <w:rsid w:val="2D9E56F5"/>
    <w:rsid w:val="2DA4664B"/>
    <w:rsid w:val="2DA8567E"/>
    <w:rsid w:val="2DAB4194"/>
    <w:rsid w:val="2DB33930"/>
    <w:rsid w:val="2DB65067"/>
    <w:rsid w:val="2DB9081B"/>
    <w:rsid w:val="2DC10423"/>
    <w:rsid w:val="2DC21DC5"/>
    <w:rsid w:val="2DCB668C"/>
    <w:rsid w:val="2DDD3E0B"/>
    <w:rsid w:val="2DE7182C"/>
    <w:rsid w:val="2DFE4332"/>
    <w:rsid w:val="2E0425E4"/>
    <w:rsid w:val="2E0A5E8E"/>
    <w:rsid w:val="2E2D48D0"/>
    <w:rsid w:val="2E352597"/>
    <w:rsid w:val="2E36630F"/>
    <w:rsid w:val="2E3E0F1F"/>
    <w:rsid w:val="2E4C739F"/>
    <w:rsid w:val="2E556795"/>
    <w:rsid w:val="2E586286"/>
    <w:rsid w:val="2E667F96"/>
    <w:rsid w:val="2E7A26A0"/>
    <w:rsid w:val="2E8226AB"/>
    <w:rsid w:val="2E82753A"/>
    <w:rsid w:val="2E8C23C9"/>
    <w:rsid w:val="2E8E6ACF"/>
    <w:rsid w:val="2E900C5D"/>
    <w:rsid w:val="2E960054"/>
    <w:rsid w:val="2E9F34C1"/>
    <w:rsid w:val="2EA25C4E"/>
    <w:rsid w:val="2EAC3D49"/>
    <w:rsid w:val="2EB909D8"/>
    <w:rsid w:val="2EBA06F2"/>
    <w:rsid w:val="2EC8340B"/>
    <w:rsid w:val="2ECD27D0"/>
    <w:rsid w:val="2ECE1F7F"/>
    <w:rsid w:val="2ED26038"/>
    <w:rsid w:val="2EDE1B52"/>
    <w:rsid w:val="2EE10029"/>
    <w:rsid w:val="2EE31FF3"/>
    <w:rsid w:val="2EE36BFF"/>
    <w:rsid w:val="2EE84298"/>
    <w:rsid w:val="2EF35FAE"/>
    <w:rsid w:val="2EF7419D"/>
    <w:rsid w:val="2F034443"/>
    <w:rsid w:val="2F047256"/>
    <w:rsid w:val="2F05640D"/>
    <w:rsid w:val="2F0B2BFE"/>
    <w:rsid w:val="2F154A8F"/>
    <w:rsid w:val="2F1C5505"/>
    <w:rsid w:val="2F1C5804"/>
    <w:rsid w:val="2F264214"/>
    <w:rsid w:val="2F2C271C"/>
    <w:rsid w:val="2F2F6DB5"/>
    <w:rsid w:val="2F57598F"/>
    <w:rsid w:val="2F644280"/>
    <w:rsid w:val="2F66082F"/>
    <w:rsid w:val="2F6F1AD9"/>
    <w:rsid w:val="2F7005BC"/>
    <w:rsid w:val="2F723FC3"/>
    <w:rsid w:val="2F7B30AE"/>
    <w:rsid w:val="2F844B71"/>
    <w:rsid w:val="2F86380B"/>
    <w:rsid w:val="2F925B34"/>
    <w:rsid w:val="2F971030"/>
    <w:rsid w:val="2F977F57"/>
    <w:rsid w:val="2F994DA8"/>
    <w:rsid w:val="2F9A2A9B"/>
    <w:rsid w:val="2F9B7F9E"/>
    <w:rsid w:val="2FD065E6"/>
    <w:rsid w:val="2FD162F0"/>
    <w:rsid w:val="2FD935ED"/>
    <w:rsid w:val="2FD967C5"/>
    <w:rsid w:val="2FD96870"/>
    <w:rsid w:val="2FDE67ED"/>
    <w:rsid w:val="2FE14059"/>
    <w:rsid w:val="2FE31E98"/>
    <w:rsid w:val="2FEA6FE6"/>
    <w:rsid w:val="2FF65D56"/>
    <w:rsid w:val="2FF71DAB"/>
    <w:rsid w:val="30113625"/>
    <w:rsid w:val="30196CD8"/>
    <w:rsid w:val="30206C6F"/>
    <w:rsid w:val="302613A0"/>
    <w:rsid w:val="30297EDA"/>
    <w:rsid w:val="303440A7"/>
    <w:rsid w:val="303625F7"/>
    <w:rsid w:val="303845C1"/>
    <w:rsid w:val="303B0C9C"/>
    <w:rsid w:val="304D11CE"/>
    <w:rsid w:val="30580BC9"/>
    <w:rsid w:val="306E1595"/>
    <w:rsid w:val="30716328"/>
    <w:rsid w:val="3078676B"/>
    <w:rsid w:val="307E3A96"/>
    <w:rsid w:val="3083084B"/>
    <w:rsid w:val="3086236F"/>
    <w:rsid w:val="308C6171"/>
    <w:rsid w:val="308E5014"/>
    <w:rsid w:val="309612E7"/>
    <w:rsid w:val="309A0DD7"/>
    <w:rsid w:val="309C2EB0"/>
    <w:rsid w:val="309E4A91"/>
    <w:rsid w:val="309F1F4A"/>
    <w:rsid w:val="30A21A3A"/>
    <w:rsid w:val="30AB4799"/>
    <w:rsid w:val="30B64F45"/>
    <w:rsid w:val="30BA3228"/>
    <w:rsid w:val="30BD4F9B"/>
    <w:rsid w:val="30D27161"/>
    <w:rsid w:val="30D61DBC"/>
    <w:rsid w:val="30DC0DDE"/>
    <w:rsid w:val="30DF5420"/>
    <w:rsid w:val="30EA0F6A"/>
    <w:rsid w:val="30F21A0F"/>
    <w:rsid w:val="30F27389"/>
    <w:rsid w:val="30F535ED"/>
    <w:rsid w:val="31033099"/>
    <w:rsid w:val="310C2BAC"/>
    <w:rsid w:val="31103685"/>
    <w:rsid w:val="3116765F"/>
    <w:rsid w:val="31190EAF"/>
    <w:rsid w:val="311B65C9"/>
    <w:rsid w:val="311E2ED7"/>
    <w:rsid w:val="31254DAD"/>
    <w:rsid w:val="312B7C81"/>
    <w:rsid w:val="3137443C"/>
    <w:rsid w:val="313B087D"/>
    <w:rsid w:val="31411253"/>
    <w:rsid w:val="314C03BF"/>
    <w:rsid w:val="31560A4A"/>
    <w:rsid w:val="315619EE"/>
    <w:rsid w:val="315C449C"/>
    <w:rsid w:val="31635BE1"/>
    <w:rsid w:val="317867ED"/>
    <w:rsid w:val="3192385D"/>
    <w:rsid w:val="3196159F"/>
    <w:rsid w:val="31992E3D"/>
    <w:rsid w:val="319E0453"/>
    <w:rsid w:val="319E189A"/>
    <w:rsid w:val="319E48F7"/>
    <w:rsid w:val="31B23EFF"/>
    <w:rsid w:val="31B82709"/>
    <w:rsid w:val="31BC3137"/>
    <w:rsid w:val="31BE28A4"/>
    <w:rsid w:val="31C11945"/>
    <w:rsid w:val="31CB7D10"/>
    <w:rsid w:val="31D05482"/>
    <w:rsid w:val="31E42322"/>
    <w:rsid w:val="31FB5930"/>
    <w:rsid w:val="32026C34"/>
    <w:rsid w:val="320421C2"/>
    <w:rsid w:val="32051E42"/>
    <w:rsid w:val="320F12BF"/>
    <w:rsid w:val="32140412"/>
    <w:rsid w:val="32171227"/>
    <w:rsid w:val="32210CD7"/>
    <w:rsid w:val="32230E6A"/>
    <w:rsid w:val="32235C91"/>
    <w:rsid w:val="32252923"/>
    <w:rsid w:val="32273586"/>
    <w:rsid w:val="322850C0"/>
    <w:rsid w:val="322C1F03"/>
    <w:rsid w:val="322D12EF"/>
    <w:rsid w:val="322E1D23"/>
    <w:rsid w:val="32340DB8"/>
    <w:rsid w:val="323451A9"/>
    <w:rsid w:val="32400B34"/>
    <w:rsid w:val="3242018E"/>
    <w:rsid w:val="324237B7"/>
    <w:rsid w:val="324700B2"/>
    <w:rsid w:val="32485C09"/>
    <w:rsid w:val="32674CE9"/>
    <w:rsid w:val="327E5810"/>
    <w:rsid w:val="32827D75"/>
    <w:rsid w:val="32836B91"/>
    <w:rsid w:val="3288092E"/>
    <w:rsid w:val="328C4750"/>
    <w:rsid w:val="328F52A3"/>
    <w:rsid w:val="32901F78"/>
    <w:rsid w:val="329276D7"/>
    <w:rsid w:val="32965CFD"/>
    <w:rsid w:val="329E6876"/>
    <w:rsid w:val="32B048E2"/>
    <w:rsid w:val="32B819E9"/>
    <w:rsid w:val="32C50EEA"/>
    <w:rsid w:val="32CB52DE"/>
    <w:rsid w:val="32CD3242"/>
    <w:rsid w:val="32CE4D7E"/>
    <w:rsid w:val="32D97063"/>
    <w:rsid w:val="32DA715F"/>
    <w:rsid w:val="32E225C2"/>
    <w:rsid w:val="32E5634F"/>
    <w:rsid w:val="32E67E0B"/>
    <w:rsid w:val="32EB3845"/>
    <w:rsid w:val="32EF3413"/>
    <w:rsid w:val="32F26CA9"/>
    <w:rsid w:val="32F80037"/>
    <w:rsid w:val="32F837A8"/>
    <w:rsid w:val="33030444"/>
    <w:rsid w:val="33056A02"/>
    <w:rsid w:val="33072028"/>
    <w:rsid w:val="330802A6"/>
    <w:rsid w:val="33093FF2"/>
    <w:rsid w:val="330B2F26"/>
    <w:rsid w:val="330E1609"/>
    <w:rsid w:val="33171D8D"/>
    <w:rsid w:val="331C1F78"/>
    <w:rsid w:val="331C5AD4"/>
    <w:rsid w:val="331F55C4"/>
    <w:rsid w:val="33260700"/>
    <w:rsid w:val="332655BD"/>
    <w:rsid w:val="332B21BB"/>
    <w:rsid w:val="332B6F9C"/>
    <w:rsid w:val="333015F2"/>
    <w:rsid w:val="33310895"/>
    <w:rsid w:val="33331DAB"/>
    <w:rsid w:val="33334A45"/>
    <w:rsid w:val="33357FA2"/>
    <w:rsid w:val="333C0319"/>
    <w:rsid w:val="3342165C"/>
    <w:rsid w:val="3346402A"/>
    <w:rsid w:val="334B6320"/>
    <w:rsid w:val="334C7304"/>
    <w:rsid w:val="334E5EA9"/>
    <w:rsid w:val="33581402"/>
    <w:rsid w:val="335A2AA0"/>
    <w:rsid w:val="335E6B36"/>
    <w:rsid w:val="336234CD"/>
    <w:rsid w:val="33650053"/>
    <w:rsid w:val="336C3BFA"/>
    <w:rsid w:val="337103F3"/>
    <w:rsid w:val="337F2D3E"/>
    <w:rsid w:val="337F3335"/>
    <w:rsid w:val="33857B1D"/>
    <w:rsid w:val="338673F1"/>
    <w:rsid w:val="338E62A6"/>
    <w:rsid w:val="3390201E"/>
    <w:rsid w:val="33AD0E22"/>
    <w:rsid w:val="33B26427"/>
    <w:rsid w:val="33B422A6"/>
    <w:rsid w:val="33B73A4E"/>
    <w:rsid w:val="33C417DA"/>
    <w:rsid w:val="33D5696C"/>
    <w:rsid w:val="33D934D4"/>
    <w:rsid w:val="33D939C5"/>
    <w:rsid w:val="33E365F1"/>
    <w:rsid w:val="33E424B9"/>
    <w:rsid w:val="33F508A6"/>
    <w:rsid w:val="33F94067"/>
    <w:rsid w:val="33FB1F69"/>
    <w:rsid w:val="33FE2F6A"/>
    <w:rsid w:val="340053F5"/>
    <w:rsid w:val="340B0678"/>
    <w:rsid w:val="340E07E5"/>
    <w:rsid w:val="34104026"/>
    <w:rsid w:val="34140EA1"/>
    <w:rsid w:val="34181F9A"/>
    <w:rsid w:val="341D5945"/>
    <w:rsid w:val="342015F4"/>
    <w:rsid w:val="3421611A"/>
    <w:rsid w:val="34235BF7"/>
    <w:rsid w:val="342A6B27"/>
    <w:rsid w:val="34311A53"/>
    <w:rsid w:val="34340845"/>
    <w:rsid w:val="34364798"/>
    <w:rsid w:val="343766E7"/>
    <w:rsid w:val="344277BC"/>
    <w:rsid w:val="34453AED"/>
    <w:rsid w:val="344C23E9"/>
    <w:rsid w:val="345D45F6"/>
    <w:rsid w:val="34627E5E"/>
    <w:rsid w:val="34647113"/>
    <w:rsid w:val="3474193F"/>
    <w:rsid w:val="347A272D"/>
    <w:rsid w:val="347F4A94"/>
    <w:rsid w:val="34806536"/>
    <w:rsid w:val="3482493D"/>
    <w:rsid w:val="34832F99"/>
    <w:rsid w:val="34834546"/>
    <w:rsid w:val="34845EDA"/>
    <w:rsid w:val="34A044E2"/>
    <w:rsid w:val="34AD6777"/>
    <w:rsid w:val="34C118F5"/>
    <w:rsid w:val="34C44675"/>
    <w:rsid w:val="34C50E05"/>
    <w:rsid w:val="34C53F49"/>
    <w:rsid w:val="34C77705"/>
    <w:rsid w:val="34D04DC8"/>
    <w:rsid w:val="34D166EB"/>
    <w:rsid w:val="34D26565"/>
    <w:rsid w:val="34D57FF3"/>
    <w:rsid w:val="34DF5160"/>
    <w:rsid w:val="34E36FE8"/>
    <w:rsid w:val="34EA0618"/>
    <w:rsid w:val="34EC50F6"/>
    <w:rsid w:val="34F826AA"/>
    <w:rsid w:val="35001667"/>
    <w:rsid w:val="3502519D"/>
    <w:rsid w:val="35154ED0"/>
    <w:rsid w:val="35181A41"/>
    <w:rsid w:val="351D5B33"/>
    <w:rsid w:val="351E3332"/>
    <w:rsid w:val="3529091B"/>
    <w:rsid w:val="352A658F"/>
    <w:rsid w:val="352C7A87"/>
    <w:rsid w:val="35487054"/>
    <w:rsid w:val="354D1DB2"/>
    <w:rsid w:val="356063A9"/>
    <w:rsid w:val="356D6C4D"/>
    <w:rsid w:val="356E68AE"/>
    <w:rsid w:val="3574140D"/>
    <w:rsid w:val="3579304E"/>
    <w:rsid w:val="357B4FDA"/>
    <w:rsid w:val="3580410C"/>
    <w:rsid w:val="358356E0"/>
    <w:rsid w:val="35884A8B"/>
    <w:rsid w:val="35887450"/>
    <w:rsid w:val="358C5FA8"/>
    <w:rsid w:val="358F3D6E"/>
    <w:rsid w:val="35935DF5"/>
    <w:rsid w:val="35A27111"/>
    <w:rsid w:val="35AA2B3A"/>
    <w:rsid w:val="35AB052E"/>
    <w:rsid w:val="35B65197"/>
    <w:rsid w:val="35C15DF1"/>
    <w:rsid w:val="35C30488"/>
    <w:rsid w:val="35CF1523"/>
    <w:rsid w:val="35D208A2"/>
    <w:rsid w:val="35D77444"/>
    <w:rsid w:val="35FB549E"/>
    <w:rsid w:val="36017203"/>
    <w:rsid w:val="36033316"/>
    <w:rsid w:val="3603734E"/>
    <w:rsid w:val="36074A7F"/>
    <w:rsid w:val="360C1CB6"/>
    <w:rsid w:val="36177C3A"/>
    <w:rsid w:val="361865BA"/>
    <w:rsid w:val="361C3CFF"/>
    <w:rsid w:val="3622370B"/>
    <w:rsid w:val="36260A17"/>
    <w:rsid w:val="3632560E"/>
    <w:rsid w:val="3634389E"/>
    <w:rsid w:val="36351AD2"/>
    <w:rsid w:val="363E3490"/>
    <w:rsid w:val="36482669"/>
    <w:rsid w:val="364831FF"/>
    <w:rsid w:val="36496ADA"/>
    <w:rsid w:val="364C5FBF"/>
    <w:rsid w:val="36590DED"/>
    <w:rsid w:val="36591BA9"/>
    <w:rsid w:val="36623B7E"/>
    <w:rsid w:val="36655676"/>
    <w:rsid w:val="366E242B"/>
    <w:rsid w:val="36845B50"/>
    <w:rsid w:val="36852C50"/>
    <w:rsid w:val="36923549"/>
    <w:rsid w:val="36997ABD"/>
    <w:rsid w:val="369A6387"/>
    <w:rsid w:val="369C10E6"/>
    <w:rsid w:val="36A70EDC"/>
    <w:rsid w:val="36A93B22"/>
    <w:rsid w:val="36B65A93"/>
    <w:rsid w:val="36B75FBF"/>
    <w:rsid w:val="36BA777D"/>
    <w:rsid w:val="36BD0C45"/>
    <w:rsid w:val="36C02C1A"/>
    <w:rsid w:val="36D451CC"/>
    <w:rsid w:val="36E763F9"/>
    <w:rsid w:val="36EE7787"/>
    <w:rsid w:val="36F11025"/>
    <w:rsid w:val="36F34D9D"/>
    <w:rsid w:val="36F4364C"/>
    <w:rsid w:val="36F56D67"/>
    <w:rsid w:val="36F7729B"/>
    <w:rsid w:val="36F9749B"/>
    <w:rsid w:val="36FB1F52"/>
    <w:rsid w:val="37195DD0"/>
    <w:rsid w:val="372633C5"/>
    <w:rsid w:val="3726539D"/>
    <w:rsid w:val="372B59F8"/>
    <w:rsid w:val="372F07D3"/>
    <w:rsid w:val="37384EA6"/>
    <w:rsid w:val="37424475"/>
    <w:rsid w:val="374A03F1"/>
    <w:rsid w:val="374D312E"/>
    <w:rsid w:val="37601133"/>
    <w:rsid w:val="37643EED"/>
    <w:rsid w:val="376C4B50"/>
    <w:rsid w:val="376D693C"/>
    <w:rsid w:val="377834F5"/>
    <w:rsid w:val="37814FE0"/>
    <w:rsid w:val="378D51F2"/>
    <w:rsid w:val="37924ED6"/>
    <w:rsid w:val="37977E1F"/>
    <w:rsid w:val="37983B97"/>
    <w:rsid w:val="37A1383F"/>
    <w:rsid w:val="37A21138"/>
    <w:rsid w:val="37A65D5D"/>
    <w:rsid w:val="37A87D97"/>
    <w:rsid w:val="37AB1B1C"/>
    <w:rsid w:val="37B9407A"/>
    <w:rsid w:val="37BE0740"/>
    <w:rsid w:val="37C20399"/>
    <w:rsid w:val="37CA4CBA"/>
    <w:rsid w:val="37D26C4E"/>
    <w:rsid w:val="37D74D54"/>
    <w:rsid w:val="37DA39D0"/>
    <w:rsid w:val="37DA7834"/>
    <w:rsid w:val="37E00298"/>
    <w:rsid w:val="37E64902"/>
    <w:rsid w:val="37E92B66"/>
    <w:rsid w:val="37F92167"/>
    <w:rsid w:val="37FC2378"/>
    <w:rsid w:val="37FE04C8"/>
    <w:rsid w:val="37FE7E9E"/>
    <w:rsid w:val="38194CD8"/>
    <w:rsid w:val="381E5E4A"/>
    <w:rsid w:val="38313125"/>
    <w:rsid w:val="38345C80"/>
    <w:rsid w:val="38393375"/>
    <w:rsid w:val="384B29B7"/>
    <w:rsid w:val="384D51DF"/>
    <w:rsid w:val="385265D9"/>
    <w:rsid w:val="3855693F"/>
    <w:rsid w:val="385839D6"/>
    <w:rsid w:val="385C2035"/>
    <w:rsid w:val="38711D03"/>
    <w:rsid w:val="387C536A"/>
    <w:rsid w:val="38831B91"/>
    <w:rsid w:val="38836992"/>
    <w:rsid w:val="38855EC9"/>
    <w:rsid w:val="38937C5C"/>
    <w:rsid w:val="38981C91"/>
    <w:rsid w:val="389B1F7E"/>
    <w:rsid w:val="389D76B7"/>
    <w:rsid w:val="38B302F9"/>
    <w:rsid w:val="38B30C88"/>
    <w:rsid w:val="38B3195E"/>
    <w:rsid w:val="38C83D60"/>
    <w:rsid w:val="38C878DF"/>
    <w:rsid w:val="38CC58A6"/>
    <w:rsid w:val="38D030A4"/>
    <w:rsid w:val="38D1110E"/>
    <w:rsid w:val="38D46E50"/>
    <w:rsid w:val="38D86941"/>
    <w:rsid w:val="38F10EAC"/>
    <w:rsid w:val="38F12CD3"/>
    <w:rsid w:val="38F21E7C"/>
    <w:rsid w:val="38F94775"/>
    <w:rsid w:val="39016303"/>
    <w:rsid w:val="39145A30"/>
    <w:rsid w:val="392971ED"/>
    <w:rsid w:val="392C29C6"/>
    <w:rsid w:val="393022D9"/>
    <w:rsid w:val="39325651"/>
    <w:rsid w:val="39335925"/>
    <w:rsid w:val="3935631D"/>
    <w:rsid w:val="3938118D"/>
    <w:rsid w:val="393B3739"/>
    <w:rsid w:val="393C259C"/>
    <w:rsid w:val="3948754F"/>
    <w:rsid w:val="394915ED"/>
    <w:rsid w:val="39493F0C"/>
    <w:rsid w:val="39586D71"/>
    <w:rsid w:val="395F02EB"/>
    <w:rsid w:val="395F2A19"/>
    <w:rsid w:val="396265FD"/>
    <w:rsid w:val="397E7E0F"/>
    <w:rsid w:val="398B236F"/>
    <w:rsid w:val="399A3BF6"/>
    <w:rsid w:val="399E6467"/>
    <w:rsid w:val="39AA2330"/>
    <w:rsid w:val="39B266C0"/>
    <w:rsid w:val="39BC3B6C"/>
    <w:rsid w:val="39BD1B2B"/>
    <w:rsid w:val="39BE7D6D"/>
    <w:rsid w:val="39BF0DA5"/>
    <w:rsid w:val="39C17AF5"/>
    <w:rsid w:val="39C46EC5"/>
    <w:rsid w:val="39C80763"/>
    <w:rsid w:val="39C87D9D"/>
    <w:rsid w:val="39C922D2"/>
    <w:rsid w:val="39CC0D50"/>
    <w:rsid w:val="39CE684A"/>
    <w:rsid w:val="39CF1DCF"/>
    <w:rsid w:val="39CF549E"/>
    <w:rsid w:val="39D22C1B"/>
    <w:rsid w:val="39D879E9"/>
    <w:rsid w:val="39EB4452"/>
    <w:rsid w:val="39FB069B"/>
    <w:rsid w:val="39FB13B6"/>
    <w:rsid w:val="39FD4FAD"/>
    <w:rsid w:val="39FE23D7"/>
    <w:rsid w:val="3A033932"/>
    <w:rsid w:val="3A081A7A"/>
    <w:rsid w:val="3A102F98"/>
    <w:rsid w:val="3A137505"/>
    <w:rsid w:val="3A1E70B0"/>
    <w:rsid w:val="3A1F5EA9"/>
    <w:rsid w:val="3A242A4A"/>
    <w:rsid w:val="3A296D28"/>
    <w:rsid w:val="3A2B2B4A"/>
    <w:rsid w:val="3A3108D4"/>
    <w:rsid w:val="3A3268FE"/>
    <w:rsid w:val="3A3D46BA"/>
    <w:rsid w:val="3A3E46A5"/>
    <w:rsid w:val="3A443B62"/>
    <w:rsid w:val="3A461688"/>
    <w:rsid w:val="3A490CCE"/>
    <w:rsid w:val="3A53331A"/>
    <w:rsid w:val="3A541FF7"/>
    <w:rsid w:val="3A59760D"/>
    <w:rsid w:val="3A771322"/>
    <w:rsid w:val="3A7C154E"/>
    <w:rsid w:val="3A86417A"/>
    <w:rsid w:val="3A872856"/>
    <w:rsid w:val="3A8728BB"/>
    <w:rsid w:val="3A8A77C7"/>
    <w:rsid w:val="3A8B1791"/>
    <w:rsid w:val="3AA71D15"/>
    <w:rsid w:val="3AAD7959"/>
    <w:rsid w:val="3AB76D1A"/>
    <w:rsid w:val="3AC46FB7"/>
    <w:rsid w:val="3AD66EB0"/>
    <w:rsid w:val="3ADB000B"/>
    <w:rsid w:val="3ADB4506"/>
    <w:rsid w:val="3ADB6274"/>
    <w:rsid w:val="3AF244AC"/>
    <w:rsid w:val="3AF675FE"/>
    <w:rsid w:val="3AF77A81"/>
    <w:rsid w:val="3AFE4695"/>
    <w:rsid w:val="3B007A89"/>
    <w:rsid w:val="3B023089"/>
    <w:rsid w:val="3B051B7D"/>
    <w:rsid w:val="3B0C0D8E"/>
    <w:rsid w:val="3B0C2405"/>
    <w:rsid w:val="3B0E7B56"/>
    <w:rsid w:val="3B1F149D"/>
    <w:rsid w:val="3B245435"/>
    <w:rsid w:val="3B295232"/>
    <w:rsid w:val="3B351E28"/>
    <w:rsid w:val="3B3763D1"/>
    <w:rsid w:val="3B3B4E7C"/>
    <w:rsid w:val="3B3F32BB"/>
    <w:rsid w:val="3B4F27BE"/>
    <w:rsid w:val="3B5F2DA3"/>
    <w:rsid w:val="3B6C3370"/>
    <w:rsid w:val="3B6D1E99"/>
    <w:rsid w:val="3B7168BA"/>
    <w:rsid w:val="3B7641EF"/>
    <w:rsid w:val="3B7827AE"/>
    <w:rsid w:val="3B7B3DB8"/>
    <w:rsid w:val="3B7F1C4D"/>
    <w:rsid w:val="3B892174"/>
    <w:rsid w:val="3B8948DC"/>
    <w:rsid w:val="3B8B7C9A"/>
    <w:rsid w:val="3B9830BD"/>
    <w:rsid w:val="3B9D530C"/>
    <w:rsid w:val="3B9F61A6"/>
    <w:rsid w:val="3BA7084C"/>
    <w:rsid w:val="3BAC4E92"/>
    <w:rsid w:val="3BBF746E"/>
    <w:rsid w:val="3BD038FF"/>
    <w:rsid w:val="3BD84B5F"/>
    <w:rsid w:val="3BE858F4"/>
    <w:rsid w:val="3BEA0F0F"/>
    <w:rsid w:val="3BF1014F"/>
    <w:rsid w:val="3C011D0B"/>
    <w:rsid w:val="3C0C50E3"/>
    <w:rsid w:val="3C196B5E"/>
    <w:rsid w:val="3C1D12C8"/>
    <w:rsid w:val="3C2F6E1E"/>
    <w:rsid w:val="3C4255D5"/>
    <w:rsid w:val="3C4F64BA"/>
    <w:rsid w:val="3C517247"/>
    <w:rsid w:val="3C717AA3"/>
    <w:rsid w:val="3C761FCB"/>
    <w:rsid w:val="3C776174"/>
    <w:rsid w:val="3C906EB5"/>
    <w:rsid w:val="3C917532"/>
    <w:rsid w:val="3C9C1A33"/>
    <w:rsid w:val="3CA13A9A"/>
    <w:rsid w:val="3CA5676A"/>
    <w:rsid w:val="3CB36484"/>
    <w:rsid w:val="3CB61B48"/>
    <w:rsid w:val="3CBD37DB"/>
    <w:rsid w:val="3CBE3E6C"/>
    <w:rsid w:val="3CBE7614"/>
    <w:rsid w:val="3CC21B20"/>
    <w:rsid w:val="3CD218F9"/>
    <w:rsid w:val="3CD62471"/>
    <w:rsid w:val="3CDA245A"/>
    <w:rsid w:val="3CDC4F0F"/>
    <w:rsid w:val="3CE21CB3"/>
    <w:rsid w:val="3CE86EAE"/>
    <w:rsid w:val="3CF278A5"/>
    <w:rsid w:val="3CFE26EE"/>
    <w:rsid w:val="3CFE4EAA"/>
    <w:rsid w:val="3D075D05"/>
    <w:rsid w:val="3D1C0BDC"/>
    <w:rsid w:val="3D1E06B7"/>
    <w:rsid w:val="3D1F64DB"/>
    <w:rsid w:val="3D2333F8"/>
    <w:rsid w:val="3D475447"/>
    <w:rsid w:val="3D4F6AA6"/>
    <w:rsid w:val="3D5F318D"/>
    <w:rsid w:val="3D5F5A07"/>
    <w:rsid w:val="3D6709BE"/>
    <w:rsid w:val="3D681C69"/>
    <w:rsid w:val="3D6B4CD6"/>
    <w:rsid w:val="3D710095"/>
    <w:rsid w:val="3D944D91"/>
    <w:rsid w:val="3D9973C0"/>
    <w:rsid w:val="3DB66B25"/>
    <w:rsid w:val="3DBB771F"/>
    <w:rsid w:val="3DCB6A74"/>
    <w:rsid w:val="3DCC334C"/>
    <w:rsid w:val="3DD52610"/>
    <w:rsid w:val="3DE07723"/>
    <w:rsid w:val="3DE11DF4"/>
    <w:rsid w:val="3DE64C93"/>
    <w:rsid w:val="3DE82F77"/>
    <w:rsid w:val="3DEA3F0F"/>
    <w:rsid w:val="3DEE32CE"/>
    <w:rsid w:val="3DF5749D"/>
    <w:rsid w:val="3DF81D2A"/>
    <w:rsid w:val="3E0B20DF"/>
    <w:rsid w:val="3E1321C9"/>
    <w:rsid w:val="3E1461B4"/>
    <w:rsid w:val="3E157CEF"/>
    <w:rsid w:val="3E17560A"/>
    <w:rsid w:val="3E1D4DF6"/>
    <w:rsid w:val="3E217D9E"/>
    <w:rsid w:val="3E255E57"/>
    <w:rsid w:val="3E295549"/>
    <w:rsid w:val="3E3331ED"/>
    <w:rsid w:val="3E344619"/>
    <w:rsid w:val="3E3F2FBE"/>
    <w:rsid w:val="3E417A71"/>
    <w:rsid w:val="3E43485C"/>
    <w:rsid w:val="3E444130"/>
    <w:rsid w:val="3E4F1283"/>
    <w:rsid w:val="3E5C2023"/>
    <w:rsid w:val="3E611D98"/>
    <w:rsid w:val="3E650719"/>
    <w:rsid w:val="3E65398B"/>
    <w:rsid w:val="3E752DDF"/>
    <w:rsid w:val="3E7C50B8"/>
    <w:rsid w:val="3E7D7438"/>
    <w:rsid w:val="3E7E5894"/>
    <w:rsid w:val="3E80785E"/>
    <w:rsid w:val="3E817133"/>
    <w:rsid w:val="3E86719B"/>
    <w:rsid w:val="3E9B5D89"/>
    <w:rsid w:val="3E9C3488"/>
    <w:rsid w:val="3E9E1934"/>
    <w:rsid w:val="3EA31BAE"/>
    <w:rsid w:val="3EA66BE2"/>
    <w:rsid w:val="3EB2553E"/>
    <w:rsid w:val="3ECF6BCE"/>
    <w:rsid w:val="3ED51E3D"/>
    <w:rsid w:val="3ED54B2F"/>
    <w:rsid w:val="3ED666C3"/>
    <w:rsid w:val="3EDA0523"/>
    <w:rsid w:val="3EDF4EE5"/>
    <w:rsid w:val="3EE000BD"/>
    <w:rsid w:val="3EF06066"/>
    <w:rsid w:val="3EF277CF"/>
    <w:rsid w:val="3F0238AB"/>
    <w:rsid w:val="3F060986"/>
    <w:rsid w:val="3F101758"/>
    <w:rsid w:val="3F1A64DC"/>
    <w:rsid w:val="3F1E7077"/>
    <w:rsid w:val="3F230DEE"/>
    <w:rsid w:val="3F2830F9"/>
    <w:rsid w:val="3F31298C"/>
    <w:rsid w:val="3F342901"/>
    <w:rsid w:val="3F430624"/>
    <w:rsid w:val="3F45783C"/>
    <w:rsid w:val="3F492FED"/>
    <w:rsid w:val="3F4A1C1A"/>
    <w:rsid w:val="3F4D603A"/>
    <w:rsid w:val="3F516B05"/>
    <w:rsid w:val="3F5D194E"/>
    <w:rsid w:val="3F685200"/>
    <w:rsid w:val="3F8143A7"/>
    <w:rsid w:val="3F8812B9"/>
    <w:rsid w:val="3F9309E2"/>
    <w:rsid w:val="3F982986"/>
    <w:rsid w:val="3F9F7B7F"/>
    <w:rsid w:val="3FA04B59"/>
    <w:rsid w:val="3FA44BD6"/>
    <w:rsid w:val="3FAE3F57"/>
    <w:rsid w:val="3FB3688B"/>
    <w:rsid w:val="3FBE7F13"/>
    <w:rsid w:val="3FC7326B"/>
    <w:rsid w:val="3FC950C5"/>
    <w:rsid w:val="3FCB654C"/>
    <w:rsid w:val="3FD914FF"/>
    <w:rsid w:val="3FE84288"/>
    <w:rsid w:val="3FF027C2"/>
    <w:rsid w:val="3FF658FE"/>
    <w:rsid w:val="3FFB43AD"/>
    <w:rsid w:val="400A167E"/>
    <w:rsid w:val="400C0C7E"/>
    <w:rsid w:val="400F0957"/>
    <w:rsid w:val="40161A04"/>
    <w:rsid w:val="40196F93"/>
    <w:rsid w:val="401A339B"/>
    <w:rsid w:val="401E041B"/>
    <w:rsid w:val="402B1A4C"/>
    <w:rsid w:val="402D32AA"/>
    <w:rsid w:val="402E6007"/>
    <w:rsid w:val="402F3D16"/>
    <w:rsid w:val="403C77B5"/>
    <w:rsid w:val="40453737"/>
    <w:rsid w:val="404A03E0"/>
    <w:rsid w:val="40582115"/>
    <w:rsid w:val="406F5781"/>
    <w:rsid w:val="4071233B"/>
    <w:rsid w:val="407A6407"/>
    <w:rsid w:val="407D392A"/>
    <w:rsid w:val="4081166C"/>
    <w:rsid w:val="40844CB8"/>
    <w:rsid w:val="40855FAC"/>
    <w:rsid w:val="40856FC5"/>
    <w:rsid w:val="4097048B"/>
    <w:rsid w:val="409F1AF2"/>
    <w:rsid w:val="40A275BA"/>
    <w:rsid w:val="40A614D2"/>
    <w:rsid w:val="40A85AE7"/>
    <w:rsid w:val="40B24F8D"/>
    <w:rsid w:val="40BB21A0"/>
    <w:rsid w:val="40C409BD"/>
    <w:rsid w:val="40D43E92"/>
    <w:rsid w:val="40D8548F"/>
    <w:rsid w:val="40D95004"/>
    <w:rsid w:val="40DE2A28"/>
    <w:rsid w:val="40E1210B"/>
    <w:rsid w:val="40EB11DB"/>
    <w:rsid w:val="40ED4F53"/>
    <w:rsid w:val="40F16B67"/>
    <w:rsid w:val="40FB4D50"/>
    <w:rsid w:val="40FC5196"/>
    <w:rsid w:val="41004C87"/>
    <w:rsid w:val="410659BB"/>
    <w:rsid w:val="410B117F"/>
    <w:rsid w:val="411306D9"/>
    <w:rsid w:val="411617A1"/>
    <w:rsid w:val="41173D7E"/>
    <w:rsid w:val="411918A4"/>
    <w:rsid w:val="411D6AAC"/>
    <w:rsid w:val="411E09D0"/>
    <w:rsid w:val="412D5350"/>
    <w:rsid w:val="412F3758"/>
    <w:rsid w:val="4132239B"/>
    <w:rsid w:val="41387B1A"/>
    <w:rsid w:val="414A7B75"/>
    <w:rsid w:val="414C7ECC"/>
    <w:rsid w:val="414F67C8"/>
    <w:rsid w:val="416845DA"/>
    <w:rsid w:val="418705C4"/>
    <w:rsid w:val="418751B6"/>
    <w:rsid w:val="41903E34"/>
    <w:rsid w:val="41926E18"/>
    <w:rsid w:val="4194717D"/>
    <w:rsid w:val="41954BA0"/>
    <w:rsid w:val="41A01FC6"/>
    <w:rsid w:val="41A53138"/>
    <w:rsid w:val="41AE46E3"/>
    <w:rsid w:val="41B121DF"/>
    <w:rsid w:val="41B61F00"/>
    <w:rsid w:val="41BA35D0"/>
    <w:rsid w:val="41C03342"/>
    <w:rsid w:val="41C66966"/>
    <w:rsid w:val="41E023C2"/>
    <w:rsid w:val="41E214C0"/>
    <w:rsid w:val="41E33F5C"/>
    <w:rsid w:val="41E95538"/>
    <w:rsid w:val="41F65938"/>
    <w:rsid w:val="41F83BB0"/>
    <w:rsid w:val="4200449D"/>
    <w:rsid w:val="4210071B"/>
    <w:rsid w:val="421D53C4"/>
    <w:rsid w:val="42280D92"/>
    <w:rsid w:val="423A3BCC"/>
    <w:rsid w:val="423C3D77"/>
    <w:rsid w:val="423F533B"/>
    <w:rsid w:val="4242307D"/>
    <w:rsid w:val="42423714"/>
    <w:rsid w:val="424566C9"/>
    <w:rsid w:val="424741EF"/>
    <w:rsid w:val="424A7B02"/>
    <w:rsid w:val="424E57D2"/>
    <w:rsid w:val="4252548F"/>
    <w:rsid w:val="4252760F"/>
    <w:rsid w:val="42530DE6"/>
    <w:rsid w:val="42585174"/>
    <w:rsid w:val="4269685C"/>
    <w:rsid w:val="426B25D4"/>
    <w:rsid w:val="42730869"/>
    <w:rsid w:val="42736CB4"/>
    <w:rsid w:val="42846FB4"/>
    <w:rsid w:val="428C38C0"/>
    <w:rsid w:val="428D7B68"/>
    <w:rsid w:val="429813F9"/>
    <w:rsid w:val="429E35FF"/>
    <w:rsid w:val="42A25018"/>
    <w:rsid w:val="42A36187"/>
    <w:rsid w:val="42AD52B2"/>
    <w:rsid w:val="42B20200"/>
    <w:rsid w:val="42B26C49"/>
    <w:rsid w:val="42B80EC5"/>
    <w:rsid w:val="42BB0811"/>
    <w:rsid w:val="42C04D8D"/>
    <w:rsid w:val="42C700D1"/>
    <w:rsid w:val="42D0327B"/>
    <w:rsid w:val="42DD74F3"/>
    <w:rsid w:val="42DD79EA"/>
    <w:rsid w:val="42DE0CD7"/>
    <w:rsid w:val="42F26851"/>
    <w:rsid w:val="42F32089"/>
    <w:rsid w:val="42F70401"/>
    <w:rsid w:val="42FC76D0"/>
    <w:rsid w:val="42FE2BA4"/>
    <w:rsid w:val="43097AB0"/>
    <w:rsid w:val="430E1A41"/>
    <w:rsid w:val="43141E8C"/>
    <w:rsid w:val="43176C07"/>
    <w:rsid w:val="431B4163"/>
    <w:rsid w:val="43291B47"/>
    <w:rsid w:val="432A7D99"/>
    <w:rsid w:val="432B7216"/>
    <w:rsid w:val="433429C6"/>
    <w:rsid w:val="43370708"/>
    <w:rsid w:val="433A6FE6"/>
    <w:rsid w:val="433D01AA"/>
    <w:rsid w:val="43402B23"/>
    <w:rsid w:val="43480868"/>
    <w:rsid w:val="4350713C"/>
    <w:rsid w:val="43566DE0"/>
    <w:rsid w:val="436037BB"/>
    <w:rsid w:val="436653E0"/>
    <w:rsid w:val="436F293C"/>
    <w:rsid w:val="437318B1"/>
    <w:rsid w:val="43832903"/>
    <w:rsid w:val="43855DF3"/>
    <w:rsid w:val="438A7056"/>
    <w:rsid w:val="438B3405"/>
    <w:rsid w:val="4391739F"/>
    <w:rsid w:val="439806B8"/>
    <w:rsid w:val="439E7EF0"/>
    <w:rsid w:val="43A37B4B"/>
    <w:rsid w:val="43AD2778"/>
    <w:rsid w:val="43B26206"/>
    <w:rsid w:val="43C01B77"/>
    <w:rsid w:val="43C4431A"/>
    <w:rsid w:val="43C6387D"/>
    <w:rsid w:val="43CD6AFF"/>
    <w:rsid w:val="43E13B9D"/>
    <w:rsid w:val="43F263DD"/>
    <w:rsid w:val="440055FD"/>
    <w:rsid w:val="4405646E"/>
    <w:rsid w:val="44093E52"/>
    <w:rsid w:val="44184683"/>
    <w:rsid w:val="441B242B"/>
    <w:rsid w:val="4420263B"/>
    <w:rsid w:val="4434410B"/>
    <w:rsid w:val="44387433"/>
    <w:rsid w:val="443B7E95"/>
    <w:rsid w:val="443C2B2F"/>
    <w:rsid w:val="444404EC"/>
    <w:rsid w:val="444E56F2"/>
    <w:rsid w:val="4450382F"/>
    <w:rsid w:val="44507864"/>
    <w:rsid w:val="44515E32"/>
    <w:rsid w:val="445B2765"/>
    <w:rsid w:val="44616F25"/>
    <w:rsid w:val="44663053"/>
    <w:rsid w:val="446A45CF"/>
    <w:rsid w:val="4478161D"/>
    <w:rsid w:val="448654A3"/>
    <w:rsid w:val="448718D0"/>
    <w:rsid w:val="448C7A47"/>
    <w:rsid w:val="44A17E6D"/>
    <w:rsid w:val="44B951CC"/>
    <w:rsid w:val="44C002B6"/>
    <w:rsid w:val="44CB1108"/>
    <w:rsid w:val="44CD14E0"/>
    <w:rsid w:val="44CE5A6E"/>
    <w:rsid w:val="44DA759D"/>
    <w:rsid w:val="44E73A68"/>
    <w:rsid w:val="44F20B0B"/>
    <w:rsid w:val="44F9613B"/>
    <w:rsid w:val="45004FE0"/>
    <w:rsid w:val="45010FB7"/>
    <w:rsid w:val="4508235C"/>
    <w:rsid w:val="451E56DB"/>
    <w:rsid w:val="4521341D"/>
    <w:rsid w:val="452151CC"/>
    <w:rsid w:val="452263BE"/>
    <w:rsid w:val="45232EC1"/>
    <w:rsid w:val="452E5F4C"/>
    <w:rsid w:val="4530540F"/>
    <w:rsid w:val="45392515"/>
    <w:rsid w:val="454D30A1"/>
    <w:rsid w:val="45505E78"/>
    <w:rsid w:val="4551309A"/>
    <w:rsid w:val="45612018"/>
    <w:rsid w:val="45626034"/>
    <w:rsid w:val="456350D1"/>
    <w:rsid w:val="456A0186"/>
    <w:rsid w:val="456A747C"/>
    <w:rsid w:val="45702F25"/>
    <w:rsid w:val="45737BDF"/>
    <w:rsid w:val="457B4187"/>
    <w:rsid w:val="457C68A6"/>
    <w:rsid w:val="458946E9"/>
    <w:rsid w:val="458F482B"/>
    <w:rsid w:val="45A47C0E"/>
    <w:rsid w:val="45AD2F03"/>
    <w:rsid w:val="45B5108C"/>
    <w:rsid w:val="45B53306"/>
    <w:rsid w:val="45BE5A18"/>
    <w:rsid w:val="45C36283"/>
    <w:rsid w:val="45C67B21"/>
    <w:rsid w:val="45CD0EAF"/>
    <w:rsid w:val="45D2616E"/>
    <w:rsid w:val="45D64F0E"/>
    <w:rsid w:val="45E4410A"/>
    <w:rsid w:val="45ED50AE"/>
    <w:rsid w:val="45FB77CB"/>
    <w:rsid w:val="45FE550D"/>
    <w:rsid w:val="46050762"/>
    <w:rsid w:val="46081EE8"/>
    <w:rsid w:val="46284E65"/>
    <w:rsid w:val="46405B25"/>
    <w:rsid w:val="46487FC8"/>
    <w:rsid w:val="464B69A4"/>
    <w:rsid w:val="46577FD6"/>
    <w:rsid w:val="46586568"/>
    <w:rsid w:val="465A0995"/>
    <w:rsid w:val="465A4F2F"/>
    <w:rsid w:val="465D4A44"/>
    <w:rsid w:val="466A5EE3"/>
    <w:rsid w:val="46717A8D"/>
    <w:rsid w:val="4678706D"/>
    <w:rsid w:val="467B0788"/>
    <w:rsid w:val="4690085B"/>
    <w:rsid w:val="469C329E"/>
    <w:rsid w:val="469D2F78"/>
    <w:rsid w:val="46AE2A8F"/>
    <w:rsid w:val="46BE16EB"/>
    <w:rsid w:val="46C344C2"/>
    <w:rsid w:val="46C44060"/>
    <w:rsid w:val="46C87FF5"/>
    <w:rsid w:val="46CE4EDF"/>
    <w:rsid w:val="46D155B4"/>
    <w:rsid w:val="46D36999"/>
    <w:rsid w:val="46D44E24"/>
    <w:rsid w:val="46D955A7"/>
    <w:rsid w:val="46DA0A83"/>
    <w:rsid w:val="46E67B6A"/>
    <w:rsid w:val="46E82445"/>
    <w:rsid w:val="46E96515"/>
    <w:rsid w:val="46EB4F16"/>
    <w:rsid w:val="46F06F2E"/>
    <w:rsid w:val="46F25071"/>
    <w:rsid w:val="46F30DEA"/>
    <w:rsid w:val="46FD57C4"/>
    <w:rsid w:val="47044F0A"/>
    <w:rsid w:val="471054F8"/>
    <w:rsid w:val="47133957"/>
    <w:rsid w:val="471C3E9C"/>
    <w:rsid w:val="4723347D"/>
    <w:rsid w:val="47263901"/>
    <w:rsid w:val="47275169"/>
    <w:rsid w:val="472865F9"/>
    <w:rsid w:val="47314840"/>
    <w:rsid w:val="473E5F43"/>
    <w:rsid w:val="47427425"/>
    <w:rsid w:val="47461EDC"/>
    <w:rsid w:val="475C794F"/>
    <w:rsid w:val="475E44B5"/>
    <w:rsid w:val="476C2C72"/>
    <w:rsid w:val="476E5B6C"/>
    <w:rsid w:val="477952E8"/>
    <w:rsid w:val="478B538F"/>
    <w:rsid w:val="478D3956"/>
    <w:rsid w:val="478F7A25"/>
    <w:rsid w:val="47A07E0C"/>
    <w:rsid w:val="47A10846"/>
    <w:rsid w:val="47A345BE"/>
    <w:rsid w:val="47A8470F"/>
    <w:rsid w:val="47B076B0"/>
    <w:rsid w:val="47B75973"/>
    <w:rsid w:val="47BB7DA2"/>
    <w:rsid w:val="47BE0BDB"/>
    <w:rsid w:val="47C22635"/>
    <w:rsid w:val="47C80647"/>
    <w:rsid w:val="47CE2C39"/>
    <w:rsid w:val="47E0311C"/>
    <w:rsid w:val="47F06273"/>
    <w:rsid w:val="47FB4A3E"/>
    <w:rsid w:val="48044A94"/>
    <w:rsid w:val="48150993"/>
    <w:rsid w:val="481B3E57"/>
    <w:rsid w:val="481C516B"/>
    <w:rsid w:val="48207910"/>
    <w:rsid w:val="482C6361"/>
    <w:rsid w:val="48311BC7"/>
    <w:rsid w:val="483B2357"/>
    <w:rsid w:val="483D1D78"/>
    <w:rsid w:val="48401E0D"/>
    <w:rsid w:val="48431100"/>
    <w:rsid w:val="484C255F"/>
    <w:rsid w:val="484E05F3"/>
    <w:rsid w:val="48546AD3"/>
    <w:rsid w:val="4870272E"/>
    <w:rsid w:val="487B2E45"/>
    <w:rsid w:val="4886557A"/>
    <w:rsid w:val="488720A5"/>
    <w:rsid w:val="488D240B"/>
    <w:rsid w:val="488E0DCA"/>
    <w:rsid w:val="48914416"/>
    <w:rsid w:val="48916BBC"/>
    <w:rsid w:val="489469EE"/>
    <w:rsid w:val="48A72C1A"/>
    <w:rsid w:val="48B128F2"/>
    <w:rsid w:val="48B34736"/>
    <w:rsid w:val="48B44AB5"/>
    <w:rsid w:val="48B620E1"/>
    <w:rsid w:val="48C22822"/>
    <w:rsid w:val="48C52AC1"/>
    <w:rsid w:val="48CE11C6"/>
    <w:rsid w:val="48D32E8F"/>
    <w:rsid w:val="48DC7D87"/>
    <w:rsid w:val="48E24C72"/>
    <w:rsid w:val="48F86873"/>
    <w:rsid w:val="490539F1"/>
    <w:rsid w:val="4908076E"/>
    <w:rsid w:val="490D0C27"/>
    <w:rsid w:val="490E5C22"/>
    <w:rsid w:val="49115557"/>
    <w:rsid w:val="49155047"/>
    <w:rsid w:val="491675D6"/>
    <w:rsid w:val="4921579A"/>
    <w:rsid w:val="49234763"/>
    <w:rsid w:val="49234856"/>
    <w:rsid w:val="49285078"/>
    <w:rsid w:val="494B0A69"/>
    <w:rsid w:val="494E0559"/>
    <w:rsid w:val="495D26A5"/>
    <w:rsid w:val="49717B81"/>
    <w:rsid w:val="49736D23"/>
    <w:rsid w:val="49764214"/>
    <w:rsid w:val="497F7553"/>
    <w:rsid w:val="499A554C"/>
    <w:rsid w:val="499B5F76"/>
    <w:rsid w:val="49A61735"/>
    <w:rsid w:val="49A90533"/>
    <w:rsid w:val="49AB1508"/>
    <w:rsid w:val="49B132F5"/>
    <w:rsid w:val="49B30B07"/>
    <w:rsid w:val="49B44EF2"/>
    <w:rsid w:val="49D92294"/>
    <w:rsid w:val="49DA0653"/>
    <w:rsid w:val="49DC7715"/>
    <w:rsid w:val="49DD4852"/>
    <w:rsid w:val="49E60F60"/>
    <w:rsid w:val="49E66A55"/>
    <w:rsid w:val="49E97107"/>
    <w:rsid w:val="49F6580C"/>
    <w:rsid w:val="49FC181A"/>
    <w:rsid w:val="4A0001BD"/>
    <w:rsid w:val="4A023139"/>
    <w:rsid w:val="4A054796"/>
    <w:rsid w:val="4A0C1722"/>
    <w:rsid w:val="4A1C0C8E"/>
    <w:rsid w:val="4A240477"/>
    <w:rsid w:val="4A2808DB"/>
    <w:rsid w:val="4A4236FE"/>
    <w:rsid w:val="4A4F0A62"/>
    <w:rsid w:val="4A5A08C7"/>
    <w:rsid w:val="4A6122EA"/>
    <w:rsid w:val="4A686E5C"/>
    <w:rsid w:val="4A6D23AC"/>
    <w:rsid w:val="4A710AA3"/>
    <w:rsid w:val="4A72164F"/>
    <w:rsid w:val="4A732ADF"/>
    <w:rsid w:val="4A745D9D"/>
    <w:rsid w:val="4A792F84"/>
    <w:rsid w:val="4A7B576F"/>
    <w:rsid w:val="4A8147BB"/>
    <w:rsid w:val="4A991BFA"/>
    <w:rsid w:val="4A9C3D23"/>
    <w:rsid w:val="4AA258AB"/>
    <w:rsid w:val="4AA34912"/>
    <w:rsid w:val="4AA76173"/>
    <w:rsid w:val="4AAF5028"/>
    <w:rsid w:val="4AB70741"/>
    <w:rsid w:val="4AB97C54"/>
    <w:rsid w:val="4AC966AD"/>
    <w:rsid w:val="4AD14F9E"/>
    <w:rsid w:val="4AD570AA"/>
    <w:rsid w:val="4AE0056A"/>
    <w:rsid w:val="4AE208F9"/>
    <w:rsid w:val="4AE20F59"/>
    <w:rsid w:val="4AF561A9"/>
    <w:rsid w:val="4B020A9D"/>
    <w:rsid w:val="4B137364"/>
    <w:rsid w:val="4B1405F6"/>
    <w:rsid w:val="4B1A0735"/>
    <w:rsid w:val="4B242A30"/>
    <w:rsid w:val="4B3727CF"/>
    <w:rsid w:val="4B3B0528"/>
    <w:rsid w:val="4B3D2B25"/>
    <w:rsid w:val="4B426B3A"/>
    <w:rsid w:val="4B435E28"/>
    <w:rsid w:val="4B4A42B2"/>
    <w:rsid w:val="4B4C0AC8"/>
    <w:rsid w:val="4B5856BF"/>
    <w:rsid w:val="4B5D52E4"/>
    <w:rsid w:val="4B607478"/>
    <w:rsid w:val="4B620E73"/>
    <w:rsid w:val="4B7233A0"/>
    <w:rsid w:val="4B7508EB"/>
    <w:rsid w:val="4B7C0820"/>
    <w:rsid w:val="4B82396D"/>
    <w:rsid w:val="4B83098E"/>
    <w:rsid w:val="4B895879"/>
    <w:rsid w:val="4B8F611F"/>
    <w:rsid w:val="4B9831B2"/>
    <w:rsid w:val="4BA16207"/>
    <w:rsid w:val="4BA71856"/>
    <w:rsid w:val="4BB30D0B"/>
    <w:rsid w:val="4BB43672"/>
    <w:rsid w:val="4BB95C9D"/>
    <w:rsid w:val="4BBA5AD8"/>
    <w:rsid w:val="4BC32EDC"/>
    <w:rsid w:val="4BC85ACF"/>
    <w:rsid w:val="4BC95CA2"/>
    <w:rsid w:val="4BE11724"/>
    <w:rsid w:val="4BE40AED"/>
    <w:rsid w:val="4BE573B4"/>
    <w:rsid w:val="4BE77D9B"/>
    <w:rsid w:val="4BF076A6"/>
    <w:rsid w:val="4BF227B8"/>
    <w:rsid w:val="4BF54CBC"/>
    <w:rsid w:val="4BF7220D"/>
    <w:rsid w:val="4BF76B91"/>
    <w:rsid w:val="4C043151"/>
    <w:rsid w:val="4C0D2AAF"/>
    <w:rsid w:val="4C14190A"/>
    <w:rsid w:val="4C150DF5"/>
    <w:rsid w:val="4C2004D2"/>
    <w:rsid w:val="4C213D03"/>
    <w:rsid w:val="4C35316B"/>
    <w:rsid w:val="4C3819A6"/>
    <w:rsid w:val="4C3A6B73"/>
    <w:rsid w:val="4C3C28EB"/>
    <w:rsid w:val="4C487D39"/>
    <w:rsid w:val="4C4A0649"/>
    <w:rsid w:val="4C4B2D02"/>
    <w:rsid w:val="4C53598B"/>
    <w:rsid w:val="4C536E11"/>
    <w:rsid w:val="4C5A2B92"/>
    <w:rsid w:val="4C642CA9"/>
    <w:rsid w:val="4C6B0BE3"/>
    <w:rsid w:val="4C71266F"/>
    <w:rsid w:val="4C7C1670"/>
    <w:rsid w:val="4C7D5CAE"/>
    <w:rsid w:val="4C7E5ECA"/>
    <w:rsid w:val="4C876AA5"/>
    <w:rsid w:val="4C885B30"/>
    <w:rsid w:val="4C89181E"/>
    <w:rsid w:val="4C8C5620"/>
    <w:rsid w:val="4C945727"/>
    <w:rsid w:val="4C950270"/>
    <w:rsid w:val="4C960985"/>
    <w:rsid w:val="4C9F1402"/>
    <w:rsid w:val="4CB03817"/>
    <w:rsid w:val="4CBF7917"/>
    <w:rsid w:val="4CC052CA"/>
    <w:rsid w:val="4CC2070E"/>
    <w:rsid w:val="4CC3183F"/>
    <w:rsid w:val="4CCA4A7E"/>
    <w:rsid w:val="4CD1373C"/>
    <w:rsid w:val="4CD24250"/>
    <w:rsid w:val="4CE30D82"/>
    <w:rsid w:val="4CE76CE5"/>
    <w:rsid w:val="4CF65190"/>
    <w:rsid w:val="4CFA6A2E"/>
    <w:rsid w:val="4CFB2556"/>
    <w:rsid w:val="4D0813FE"/>
    <w:rsid w:val="4D08431F"/>
    <w:rsid w:val="4D0D7727"/>
    <w:rsid w:val="4D0E00FB"/>
    <w:rsid w:val="4D176606"/>
    <w:rsid w:val="4D1906D8"/>
    <w:rsid w:val="4D225F85"/>
    <w:rsid w:val="4D2A0004"/>
    <w:rsid w:val="4D362ABF"/>
    <w:rsid w:val="4D454314"/>
    <w:rsid w:val="4D471D29"/>
    <w:rsid w:val="4D471EEE"/>
    <w:rsid w:val="4D491731"/>
    <w:rsid w:val="4D586B91"/>
    <w:rsid w:val="4D6538AB"/>
    <w:rsid w:val="4D685446"/>
    <w:rsid w:val="4D697710"/>
    <w:rsid w:val="4D763D72"/>
    <w:rsid w:val="4D7A191D"/>
    <w:rsid w:val="4D9204CF"/>
    <w:rsid w:val="4D93478D"/>
    <w:rsid w:val="4DA40C2B"/>
    <w:rsid w:val="4DA649A0"/>
    <w:rsid w:val="4DA929B3"/>
    <w:rsid w:val="4DAC584E"/>
    <w:rsid w:val="4DB13F59"/>
    <w:rsid w:val="4DB26A87"/>
    <w:rsid w:val="4DB41BC9"/>
    <w:rsid w:val="4DC50327"/>
    <w:rsid w:val="4DCD442E"/>
    <w:rsid w:val="4DD72461"/>
    <w:rsid w:val="4DDD6610"/>
    <w:rsid w:val="4DEC4FB0"/>
    <w:rsid w:val="4DF07E31"/>
    <w:rsid w:val="4DFB3333"/>
    <w:rsid w:val="4DFE60AA"/>
    <w:rsid w:val="4DFF0847"/>
    <w:rsid w:val="4E04568A"/>
    <w:rsid w:val="4E075D8A"/>
    <w:rsid w:val="4E080ABC"/>
    <w:rsid w:val="4E0B218A"/>
    <w:rsid w:val="4E113590"/>
    <w:rsid w:val="4E140649"/>
    <w:rsid w:val="4E1646B4"/>
    <w:rsid w:val="4E235CBA"/>
    <w:rsid w:val="4E310591"/>
    <w:rsid w:val="4E31109D"/>
    <w:rsid w:val="4E31192F"/>
    <w:rsid w:val="4E361CE8"/>
    <w:rsid w:val="4E4F7E23"/>
    <w:rsid w:val="4E50267E"/>
    <w:rsid w:val="4E6D2B88"/>
    <w:rsid w:val="4E6E427E"/>
    <w:rsid w:val="4E73012D"/>
    <w:rsid w:val="4E737068"/>
    <w:rsid w:val="4E7445BE"/>
    <w:rsid w:val="4E792D2D"/>
    <w:rsid w:val="4E7A08D1"/>
    <w:rsid w:val="4E7C3473"/>
    <w:rsid w:val="4E816CDB"/>
    <w:rsid w:val="4E89258D"/>
    <w:rsid w:val="4E94790E"/>
    <w:rsid w:val="4E9A2B0C"/>
    <w:rsid w:val="4E9B7D9D"/>
    <w:rsid w:val="4E9C0BC5"/>
    <w:rsid w:val="4E9E163B"/>
    <w:rsid w:val="4E9E788D"/>
    <w:rsid w:val="4EB32F14"/>
    <w:rsid w:val="4EC00FAD"/>
    <w:rsid w:val="4EC92B5C"/>
    <w:rsid w:val="4ECD3D05"/>
    <w:rsid w:val="4ED03489"/>
    <w:rsid w:val="4EEA4255"/>
    <w:rsid w:val="4EF16274"/>
    <w:rsid w:val="4EFB6A8D"/>
    <w:rsid w:val="4F065447"/>
    <w:rsid w:val="4F191063"/>
    <w:rsid w:val="4F2526DE"/>
    <w:rsid w:val="4F29184C"/>
    <w:rsid w:val="4F2A14D9"/>
    <w:rsid w:val="4F406709"/>
    <w:rsid w:val="4F4731B4"/>
    <w:rsid w:val="4F4E2B75"/>
    <w:rsid w:val="4F504944"/>
    <w:rsid w:val="4F5477AA"/>
    <w:rsid w:val="4F5616DF"/>
    <w:rsid w:val="4F5B0919"/>
    <w:rsid w:val="4F5D32A4"/>
    <w:rsid w:val="4F5E5E6E"/>
    <w:rsid w:val="4F642884"/>
    <w:rsid w:val="4F676757"/>
    <w:rsid w:val="4F70516D"/>
    <w:rsid w:val="4F741FF8"/>
    <w:rsid w:val="4F7640D9"/>
    <w:rsid w:val="4F784B91"/>
    <w:rsid w:val="4F7C1CC9"/>
    <w:rsid w:val="4F876573"/>
    <w:rsid w:val="4F8E3227"/>
    <w:rsid w:val="4F912F4E"/>
    <w:rsid w:val="4F9254B8"/>
    <w:rsid w:val="4F9843DC"/>
    <w:rsid w:val="4F9D0C0C"/>
    <w:rsid w:val="4FA63C04"/>
    <w:rsid w:val="4FAD69F1"/>
    <w:rsid w:val="4FB44166"/>
    <w:rsid w:val="4FB5665A"/>
    <w:rsid w:val="4FBC621D"/>
    <w:rsid w:val="4FC06758"/>
    <w:rsid w:val="4FC21359"/>
    <w:rsid w:val="4FC62A8C"/>
    <w:rsid w:val="4FCB183F"/>
    <w:rsid w:val="4FCF1174"/>
    <w:rsid w:val="4FE047F5"/>
    <w:rsid w:val="4FE20F0D"/>
    <w:rsid w:val="4FE51552"/>
    <w:rsid w:val="4FE614EB"/>
    <w:rsid w:val="4FE87012"/>
    <w:rsid w:val="4FEB4D54"/>
    <w:rsid w:val="4FED50D3"/>
    <w:rsid w:val="4FF260E2"/>
    <w:rsid w:val="500205F0"/>
    <w:rsid w:val="50027F99"/>
    <w:rsid w:val="500A580F"/>
    <w:rsid w:val="500E2419"/>
    <w:rsid w:val="501C4125"/>
    <w:rsid w:val="501E3E9C"/>
    <w:rsid w:val="50233F34"/>
    <w:rsid w:val="50242014"/>
    <w:rsid w:val="503B1837"/>
    <w:rsid w:val="503B7C3F"/>
    <w:rsid w:val="504F0E3F"/>
    <w:rsid w:val="50504C4B"/>
    <w:rsid w:val="505D3113"/>
    <w:rsid w:val="505E72D4"/>
    <w:rsid w:val="50692AA8"/>
    <w:rsid w:val="506A3C8E"/>
    <w:rsid w:val="50720FD1"/>
    <w:rsid w:val="507D215B"/>
    <w:rsid w:val="5086130F"/>
    <w:rsid w:val="50952C38"/>
    <w:rsid w:val="509C6E7C"/>
    <w:rsid w:val="50AC6968"/>
    <w:rsid w:val="50AE5470"/>
    <w:rsid w:val="50AF7B2F"/>
    <w:rsid w:val="50B9432B"/>
    <w:rsid w:val="50C05441"/>
    <w:rsid w:val="50C35389"/>
    <w:rsid w:val="50C730CB"/>
    <w:rsid w:val="50C86FD2"/>
    <w:rsid w:val="50CC1AC6"/>
    <w:rsid w:val="50D13F4A"/>
    <w:rsid w:val="50D373FA"/>
    <w:rsid w:val="50D80DA8"/>
    <w:rsid w:val="50E40448"/>
    <w:rsid w:val="50ED7977"/>
    <w:rsid w:val="50EF3D93"/>
    <w:rsid w:val="51234079"/>
    <w:rsid w:val="512741C4"/>
    <w:rsid w:val="512D4760"/>
    <w:rsid w:val="512F2A1E"/>
    <w:rsid w:val="513123AE"/>
    <w:rsid w:val="51324FD6"/>
    <w:rsid w:val="513424C7"/>
    <w:rsid w:val="513B5867"/>
    <w:rsid w:val="514D1512"/>
    <w:rsid w:val="51575829"/>
    <w:rsid w:val="5162104E"/>
    <w:rsid w:val="51647E65"/>
    <w:rsid w:val="516B4BE6"/>
    <w:rsid w:val="516F65E1"/>
    <w:rsid w:val="51791EEB"/>
    <w:rsid w:val="517934BC"/>
    <w:rsid w:val="51823496"/>
    <w:rsid w:val="518A568C"/>
    <w:rsid w:val="51905BB3"/>
    <w:rsid w:val="51912D1E"/>
    <w:rsid w:val="51961750"/>
    <w:rsid w:val="51986815"/>
    <w:rsid w:val="51991A9C"/>
    <w:rsid w:val="519B6F0C"/>
    <w:rsid w:val="51AD23AB"/>
    <w:rsid w:val="51BD0CE5"/>
    <w:rsid w:val="51C33452"/>
    <w:rsid w:val="51E11F6A"/>
    <w:rsid w:val="51E8014E"/>
    <w:rsid w:val="51E8498B"/>
    <w:rsid w:val="51F65F8B"/>
    <w:rsid w:val="51FF14CF"/>
    <w:rsid w:val="51FF6894"/>
    <w:rsid w:val="520D17BC"/>
    <w:rsid w:val="52243698"/>
    <w:rsid w:val="522A3A8F"/>
    <w:rsid w:val="522B254D"/>
    <w:rsid w:val="522E717A"/>
    <w:rsid w:val="52384FCA"/>
    <w:rsid w:val="523C1E1F"/>
    <w:rsid w:val="525A1D1D"/>
    <w:rsid w:val="52610D67"/>
    <w:rsid w:val="526A1C3E"/>
    <w:rsid w:val="526D2957"/>
    <w:rsid w:val="52732172"/>
    <w:rsid w:val="527561C5"/>
    <w:rsid w:val="52756B57"/>
    <w:rsid w:val="52863558"/>
    <w:rsid w:val="52891C7E"/>
    <w:rsid w:val="528F038A"/>
    <w:rsid w:val="52917701"/>
    <w:rsid w:val="529C5AA3"/>
    <w:rsid w:val="52AB3EA4"/>
    <w:rsid w:val="52AC6214"/>
    <w:rsid w:val="52AD62F0"/>
    <w:rsid w:val="52B2292A"/>
    <w:rsid w:val="52C021F7"/>
    <w:rsid w:val="52C11D9C"/>
    <w:rsid w:val="52C27FEE"/>
    <w:rsid w:val="52CC2C1B"/>
    <w:rsid w:val="52D34051"/>
    <w:rsid w:val="52D3538C"/>
    <w:rsid w:val="52D35F1E"/>
    <w:rsid w:val="52D41ACF"/>
    <w:rsid w:val="52D71FC3"/>
    <w:rsid w:val="52DB4C0C"/>
    <w:rsid w:val="52DD05CB"/>
    <w:rsid w:val="52DE26D4"/>
    <w:rsid w:val="52E51B43"/>
    <w:rsid w:val="52F07F03"/>
    <w:rsid w:val="52F715A0"/>
    <w:rsid w:val="52FE6B4C"/>
    <w:rsid w:val="53097F70"/>
    <w:rsid w:val="530A6B20"/>
    <w:rsid w:val="5316750C"/>
    <w:rsid w:val="53167C94"/>
    <w:rsid w:val="531A4F11"/>
    <w:rsid w:val="531D3476"/>
    <w:rsid w:val="532F2F1B"/>
    <w:rsid w:val="53451FFC"/>
    <w:rsid w:val="534A2982"/>
    <w:rsid w:val="53511372"/>
    <w:rsid w:val="536B25A4"/>
    <w:rsid w:val="5378166F"/>
    <w:rsid w:val="53794425"/>
    <w:rsid w:val="537B1F4B"/>
    <w:rsid w:val="5382461A"/>
    <w:rsid w:val="53912714"/>
    <w:rsid w:val="53951B2E"/>
    <w:rsid w:val="53A039CC"/>
    <w:rsid w:val="53A1505A"/>
    <w:rsid w:val="53A75BFC"/>
    <w:rsid w:val="53A97927"/>
    <w:rsid w:val="53AE7F07"/>
    <w:rsid w:val="53C57773"/>
    <w:rsid w:val="53D249E7"/>
    <w:rsid w:val="53E61BAE"/>
    <w:rsid w:val="53E775E0"/>
    <w:rsid w:val="54063E08"/>
    <w:rsid w:val="540E1011"/>
    <w:rsid w:val="54106B37"/>
    <w:rsid w:val="54121486"/>
    <w:rsid w:val="541E78FF"/>
    <w:rsid w:val="5426069A"/>
    <w:rsid w:val="54262159"/>
    <w:rsid w:val="542F004F"/>
    <w:rsid w:val="543437E8"/>
    <w:rsid w:val="543A5C5E"/>
    <w:rsid w:val="543E1C96"/>
    <w:rsid w:val="544113E6"/>
    <w:rsid w:val="54432F16"/>
    <w:rsid w:val="545A1756"/>
    <w:rsid w:val="54601EED"/>
    <w:rsid w:val="54667951"/>
    <w:rsid w:val="546F4823"/>
    <w:rsid w:val="54705828"/>
    <w:rsid w:val="547E6642"/>
    <w:rsid w:val="54836F8B"/>
    <w:rsid w:val="5486504B"/>
    <w:rsid w:val="548B1623"/>
    <w:rsid w:val="548D0188"/>
    <w:rsid w:val="54933D06"/>
    <w:rsid w:val="549534E0"/>
    <w:rsid w:val="54994EA4"/>
    <w:rsid w:val="549F78A0"/>
    <w:rsid w:val="54A13C33"/>
    <w:rsid w:val="54A454D1"/>
    <w:rsid w:val="54A97761"/>
    <w:rsid w:val="54AD4386"/>
    <w:rsid w:val="54C90F5D"/>
    <w:rsid w:val="54CD2C7A"/>
    <w:rsid w:val="54D933CD"/>
    <w:rsid w:val="54E67898"/>
    <w:rsid w:val="54F73313"/>
    <w:rsid w:val="54F80955"/>
    <w:rsid w:val="54F9581D"/>
    <w:rsid w:val="550629FA"/>
    <w:rsid w:val="55075E27"/>
    <w:rsid w:val="55191A1B"/>
    <w:rsid w:val="5523289A"/>
    <w:rsid w:val="552E750E"/>
    <w:rsid w:val="55384597"/>
    <w:rsid w:val="553C572D"/>
    <w:rsid w:val="55486BBC"/>
    <w:rsid w:val="555170A7"/>
    <w:rsid w:val="556829A3"/>
    <w:rsid w:val="55745232"/>
    <w:rsid w:val="55801A9A"/>
    <w:rsid w:val="55805F3E"/>
    <w:rsid w:val="5587536D"/>
    <w:rsid w:val="558A46C7"/>
    <w:rsid w:val="558C48E3"/>
    <w:rsid w:val="55991C45"/>
    <w:rsid w:val="559B174B"/>
    <w:rsid w:val="55AE77FC"/>
    <w:rsid w:val="55B64FB0"/>
    <w:rsid w:val="55B675D6"/>
    <w:rsid w:val="55BD4A9D"/>
    <w:rsid w:val="55C01AA6"/>
    <w:rsid w:val="55C0534A"/>
    <w:rsid w:val="55C0633B"/>
    <w:rsid w:val="55C20305"/>
    <w:rsid w:val="55CE0CF4"/>
    <w:rsid w:val="55CE45EF"/>
    <w:rsid w:val="55CF47D0"/>
    <w:rsid w:val="55F0380C"/>
    <w:rsid w:val="55F10BEA"/>
    <w:rsid w:val="55F54236"/>
    <w:rsid w:val="55FB7CF2"/>
    <w:rsid w:val="56020384"/>
    <w:rsid w:val="560937C4"/>
    <w:rsid w:val="561873AF"/>
    <w:rsid w:val="56220DA3"/>
    <w:rsid w:val="562605BD"/>
    <w:rsid w:val="56321D83"/>
    <w:rsid w:val="563C00B7"/>
    <w:rsid w:val="5643645D"/>
    <w:rsid w:val="564659CC"/>
    <w:rsid w:val="56472BD2"/>
    <w:rsid w:val="564B0C5A"/>
    <w:rsid w:val="564B43CE"/>
    <w:rsid w:val="56513437"/>
    <w:rsid w:val="565D77D5"/>
    <w:rsid w:val="565E2B72"/>
    <w:rsid w:val="565E57F8"/>
    <w:rsid w:val="566033CC"/>
    <w:rsid w:val="56687216"/>
    <w:rsid w:val="566B44F9"/>
    <w:rsid w:val="566B7DFC"/>
    <w:rsid w:val="566D64C3"/>
    <w:rsid w:val="56731990"/>
    <w:rsid w:val="567754D8"/>
    <w:rsid w:val="56821842"/>
    <w:rsid w:val="56876E58"/>
    <w:rsid w:val="568850AA"/>
    <w:rsid w:val="56A365C9"/>
    <w:rsid w:val="56A36ADA"/>
    <w:rsid w:val="56AC18BA"/>
    <w:rsid w:val="56AE629A"/>
    <w:rsid w:val="56B22A9C"/>
    <w:rsid w:val="56BA6F7D"/>
    <w:rsid w:val="56BA722E"/>
    <w:rsid w:val="56BF66CC"/>
    <w:rsid w:val="56CD7C46"/>
    <w:rsid w:val="56D3300B"/>
    <w:rsid w:val="56D402F0"/>
    <w:rsid w:val="56D80491"/>
    <w:rsid w:val="56E06137"/>
    <w:rsid w:val="56F26F08"/>
    <w:rsid w:val="56F7363C"/>
    <w:rsid w:val="56F75D8C"/>
    <w:rsid w:val="56FD7D1F"/>
    <w:rsid w:val="570046B2"/>
    <w:rsid w:val="57012579"/>
    <w:rsid w:val="57062473"/>
    <w:rsid w:val="57070C43"/>
    <w:rsid w:val="570A7431"/>
    <w:rsid w:val="570B1D0C"/>
    <w:rsid w:val="571D74F3"/>
    <w:rsid w:val="57225ED2"/>
    <w:rsid w:val="57226B03"/>
    <w:rsid w:val="572F3399"/>
    <w:rsid w:val="574115C2"/>
    <w:rsid w:val="574A2393"/>
    <w:rsid w:val="57652AC4"/>
    <w:rsid w:val="57662666"/>
    <w:rsid w:val="57715B3F"/>
    <w:rsid w:val="57763AC4"/>
    <w:rsid w:val="5780359E"/>
    <w:rsid w:val="57A03807"/>
    <w:rsid w:val="57AF23ED"/>
    <w:rsid w:val="57B72A76"/>
    <w:rsid w:val="57BA21BF"/>
    <w:rsid w:val="57C26498"/>
    <w:rsid w:val="57C3426C"/>
    <w:rsid w:val="57CE1F93"/>
    <w:rsid w:val="57DC69B5"/>
    <w:rsid w:val="57E01436"/>
    <w:rsid w:val="57E20526"/>
    <w:rsid w:val="57E9211D"/>
    <w:rsid w:val="57ED6739"/>
    <w:rsid w:val="57F25637"/>
    <w:rsid w:val="57F26597"/>
    <w:rsid w:val="57FA4326"/>
    <w:rsid w:val="57FD3FEF"/>
    <w:rsid w:val="58095D77"/>
    <w:rsid w:val="580A62B2"/>
    <w:rsid w:val="58164938"/>
    <w:rsid w:val="581C3D92"/>
    <w:rsid w:val="581D136C"/>
    <w:rsid w:val="58221F1A"/>
    <w:rsid w:val="58250C1B"/>
    <w:rsid w:val="5836637E"/>
    <w:rsid w:val="58445218"/>
    <w:rsid w:val="58462984"/>
    <w:rsid w:val="584A552F"/>
    <w:rsid w:val="584D65AC"/>
    <w:rsid w:val="584E7888"/>
    <w:rsid w:val="586471D2"/>
    <w:rsid w:val="58656B24"/>
    <w:rsid w:val="58810905"/>
    <w:rsid w:val="588743D1"/>
    <w:rsid w:val="5887701A"/>
    <w:rsid w:val="588F2810"/>
    <w:rsid w:val="588F7D17"/>
    <w:rsid w:val="58904A09"/>
    <w:rsid w:val="58922210"/>
    <w:rsid w:val="589342AA"/>
    <w:rsid w:val="58953AAF"/>
    <w:rsid w:val="589809A9"/>
    <w:rsid w:val="589D2963"/>
    <w:rsid w:val="58A25280"/>
    <w:rsid w:val="58B20A49"/>
    <w:rsid w:val="58B51F19"/>
    <w:rsid w:val="58B84A1F"/>
    <w:rsid w:val="58CE0D6F"/>
    <w:rsid w:val="58CE1CBD"/>
    <w:rsid w:val="58D2085F"/>
    <w:rsid w:val="58D269C6"/>
    <w:rsid w:val="58DF7FCA"/>
    <w:rsid w:val="58E16039"/>
    <w:rsid w:val="59002D7E"/>
    <w:rsid w:val="590704C8"/>
    <w:rsid w:val="590C2814"/>
    <w:rsid w:val="591A3EAB"/>
    <w:rsid w:val="591D41FE"/>
    <w:rsid w:val="59215342"/>
    <w:rsid w:val="59305585"/>
    <w:rsid w:val="5932754F"/>
    <w:rsid w:val="59554FEC"/>
    <w:rsid w:val="59575208"/>
    <w:rsid w:val="59613991"/>
    <w:rsid w:val="597330F6"/>
    <w:rsid w:val="59750590"/>
    <w:rsid w:val="59784C92"/>
    <w:rsid w:val="597A2A12"/>
    <w:rsid w:val="5980475F"/>
    <w:rsid w:val="59910850"/>
    <w:rsid w:val="59994FB0"/>
    <w:rsid w:val="59A3044D"/>
    <w:rsid w:val="59A66240"/>
    <w:rsid w:val="59B259A0"/>
    <w:rsid w:val="59B455A3"/>
    <w:rsid w:val="59C0439F"/>
    <w:rsid w:val="59CC4A3A"/>
    <w:rsid w:val="59D46859"/>
    <w:rsid w:val="59DD61C9"/>
    <w:rsid w:val="59E9136D"/>
    <w:rsid w:val="59F914CE"/>
    <w:rsid w:val="59F96ED1"/>
    <w:rsid w:val="5A096C55"/>
    <w:rsid w:val="5A0B7AB4"/>
    <w:rsid w:val="5A143032"/>
    <w:rsid w:val="5A163FCC"/>
    <w:rsid w:val="5A225816"/>
    <w:rsid w:val="5A33357F"/>
    <w:rsid w:val="5A3922BD"/>
    <w:rsid w:val="5A39293E"/>
    <w:rsid w:val="5A3D1EAF"/>
    <w:rsid w:val="5A3E3CD2"/>
    <w:rsid w:val="5A3E4697"/>
    <w:rsid w:val="5A5B4884"/>
    <w:rsid w:val="5A5B54D0"/>
    <w:rsid w:val="5A5C7AA6"/>
    <w:rsid w:val="5A5D39F8"/>
    <w:rsid w:val="5A7501C6"/>
    <w:rsid w:val="5A7A55ED"/>
    <w:rsid w:val="5A7F4351"/>
    <w:rsid w:val="5A8F1DB5"/>
    <w:rsid w:val="5A9A53AC"/>
    <w:rsid w:val="5A9F2A2E"/>
    <w:rsid w:val="5AA158DB"/>
    <w:rsid w:val="5AAF6327"/>
    <w:rsid w:val="5AB06762"/>
    <w:rsid w:val="5ABA39DD"/>
    <w:rsid w:val="5ABE2233"/>
    <w:rsid w:val="5AC81FAD"/>
    <w:rsid w:val="5ADC5733"/>
    <w:rsid w:val="5ADE0C81"/>
    <w:rsid w:val="5AE103BB"/>
    <w:rsid w:val="5AE26D53"/>
    <w:rsid w:val="5AEB5C08"/>
    <w:rsid w:val="5AEE116B"/>
    <w:rsid w:val="5B0C0BCF"/>
    <w:rsid w:val="5B0E0482"/>
    <w:rsid w:val="5B1B2C09"/>
    <w:rsid w:val="5B1C5683"/>
    <w:rsid w:val="5B2561DF"/>
    <w:rsid w:val="5B305D11"/>
    <w:rsid w:val="5B3061E5"/>
    <w:rsid w:val="5B4517BC"/>
    <w:rsid w:val="5B480C15"/>
    <w:rsid w:val="5B4B48BB"/>
    <w:rsid w:val="5B4C792C"/>
    <w:rsid w:val="5B4F6C8F"/>
    <w:rsid w:val="5B501F90"/>
    <w:rsid w:val="5B5714EF"/>
    <w:rsid w:val="5B6559BA"/>
    <w:rsid w:val="5B6F69AA"/>
    <w:rsid w:val="5B7B3430"/>
    <w:rsid w:val="5B8A3673"/>
    <w:rsid w:val="5B8A7FC1"/>
    <w:rsid w:val="5B906EF9"/>
    <w:rsid w:val="5B950720"/>
    <w:rsid w:val="5B992B88"/>
    <w:rsid w:val="5BA84175"/>
    <w:rsid w:val="5BAA38E0"/>
    <w:rsid w:val="5BB07937"/>
    <w:rsid w:val="5BB47AC3"/>
    <w:rsid w:val="5BC621D1"/>
    <w:rsid w:val="5BD17495"/>
    <w:rsid w:val="5BDF5D95"/>
    <w:rsid w:val="5BE61DF0"/>
    <w:rsid w:val="5BE74C3E"/>
    <w:rsid w:val="5BED6DB0"/>
    <w:rsid w:val="5BF60D08"/>
    <w:rsid w:val="5BF8682E"/>
    <w:rsid w:val="5BFE7528"/>
    <w:rsid w:val="5BFF2F65"/>
    <w:rsid w:val="5BFF4D10"/>
    <w:rsid w:val="5C043425"/>
    <w:rsid w:val="5C050F4B"/>
    <w:rsid w:val="5C094FD0"/>
    <w:rsid w:val="5C0D786E"/>
    <w:rsid w:val="5C180F45"/>
    <w:rsid w:val="5C1C6A7E"/>
    <w:rsid w:val="5C1E0BC7"/>
    <w:rsid w:val="5C26479C"/>
    <w:rsid w:val="5C334DA1"/>
    <w:rsid w:val="5C391A9C"/>
    <w:rsid w:val="5C3D4E59"/>
    <w:rsid w:val="5C433F2D"/>
    <w:rsid w:val="5C4563BD"/>
    <w:rsid w:val="5C4F0418"/>
    <w:rsid w:val="5C546A2C"/>
    <w:rsid w:val="5C593045"/>
    <w:rsid w:val="5C6B55D1"/>
    <w:rsid w:val="5C6C6C7F"/>
    <w:rsid w:val="5C6D01F8"/>
    <w:rsid w:val="5C7442C0"/>
    <w:rsid w:val="5C796266"/>
    <w:rsid w:val="5C7D0CFE"/>
    <w:rsid w:val="5C7D4F86"/>
    <w:rsid w:val="5C8D7787"/>
    <w:rsid w:val="5C9A1694"/>
    <w:rsid w:val="5CAA110F"/>
    <w:rsid w:val="5CAC71FB"/>
    <w:rsid w:val="5CC06FCC"/>
    <w:rsid w:val="5CDE61E5"/>
    <w:rsid w:val="5CE648D9"/>
    <w:rsid w:val="5CE96177"/>
    <w:rsid w:val="5CF60894"/>
    <w:rsid w:val="5CFA03D2"/>
    <w:rsid w:val="5CFB5EAA"/>
    <w:rsid w:val="5D17501F"/>
    <w:rsid w:val="5D227822"/>
    <w:rsid w:val="5D351B9C"/>
    <w:rsid w:val="5D3C4DB4"/>
    <w:rsid w:val="5D3C6BEF"/>
    <w:rsid w:val="5D3F415D"/>
    <w:rsid w:val="5D4556A1"/>
    <w:rsid w:val="5D4806FF"/>
    <w:rsid w:val="5D4A253D"/>
    <w:rsid w:val="5D4C1D5E"/>
    <w:rsid w:val="5D4C2C4D"/>
    <w:rsid w:val="5D5F3DB5"/>
    <w:rsid w:val="5D6112A6"/>
    <w:rsid w:val="5D641247"/>
    <w:rsid w:val="5D677D3F"/>
    <w:rsid w:val="5D6D4FFA"/>
    <w:rsid w:val="5D6D6DA8"/>
    <w:rsid w:val="5D704AEA"/>
    <w:rsid w:val="5D704B1A"/>
    <w:rsid w:val="5D78609D"/>
    <w:rsid w:val="5D79574D"/>
    <w:rsid w:val="5D7F1C5E"/>
    <w:rsid w:val="5D7F60F0"/>
    <w:rsid w:val="5D883BE2"/>
    <w:rsid w:val="5D891708"/>
    <w:rsid w:val="5D8A4823"/>
    <w:rsid w:val="5D8F6AA5"/>
    <w:rsid w:val="5DA07FBE"/>
    <w:rsid w:val="5DA54794"/>
    <w:rsid w:val="5DAA5D98"/>
    <w:rsid w:val="5DAF0D3C"/>
    <w:rsid w:val="5DAF4DC1"/>
    <w:rsid w:val="5DB26B6E"/>
    <w:rsid w:val="5DB8291E"/>
    <w:rsid w:val="5DB93D9B"/>
    <w:rsid w:val="5DC2175C"/>
    <w:rsid w:val="5DCB2023"/>
    <w:rsid w:val="5DCD4076"/>
    <w:rsid w:val="5DD0497B"/>
    <w:rsid w:val="5DD811C1"/>
    <w:rsid w:val="5DE74DAC"/>
    <w:rsid w:val="5DF11787"/>
    <w:rsid w:val="5DFE20F6"/>
    <w:rsid w:val="5E001ACF"/>
    <w:rsid w:val="5E1125CA"/>
    <w:rsid w:val="5E1165C0"/>
    <w:rsid w:val="5E1A65A9"/>
    <w:rsid w:val="5E203E1A"/>
    <w:rsid w:val="5E2213A8"/>
    <w:rsid w:val="5E2467F1"/>
    <w:rsid w:val="5E321B48"/>
    <w:rsid w:val="5E323B4E"/>
    <w:rsid w:val="5E3478C6"/>
    <w:rsid w:val="5E397595"/>
    <w:rsid w:val="5E3E4FE1"/>
    <w:rsid w:val="5E517DA3"/>
    <w:rsid w:val="5E572CB1"/>
    <w:rsid w:val="5E5C749B"/>
    <w:rsid w:val="5E6301AB"/>
    <w:rsid w:val="5E661A86"/>
    <w:rsid w:val="5E6E102A"/>
    <w:rsid w:val="5E6E2DD8"/>
    <w:rsid w:val="5E731127"/>
    <w:rsid w:val="5E736640"/>
    <w:rsid w:val="5E763B21"/>
    <w:rsid w:val="5E8641AB"/>
    <w:rsid w:val="5E884785"/>
    <w:rsid w:val="5E956320"/>
    <w:rsid w:val="5EA0422B"/>
    <w:rsid w:val="5EA65BE0"/>
    <w:rsid w:val="5EAA6C6E"/>
    <w:rsid w:val="5EB35B5E"/>
    <w:rsid w:val="5EB43AC9"/>
    <w:rsid w:val="5EC92704"/>
    <w:rsid w:val="5ED96B44"/>
    <w:rsid w:val="5EDA221B"/>
    <w:rsid w:val="5EE906B0"/>
    <w:rsid w:val="5EE9424D"/>
    <w:rsid w:val="5EF946E8"/>
    <w:rsid w:val="5F036F0D"/>
    <w:rsid w:val="5F0843C5"/>
    <w:rsid w:val="5F107586"/>
    <w:rsid w:val="5F13397F"/>
    <w:rsid w:val="5F1953A8"/>
    <w:rsid w:val="5F1A2B43"/>
    <w:rsid w:val="5F2602AF"/>
    <w:rsid w:val="5F2931A3"/>
    <w:rsid w:val="5F2B741D"/>
    <w:rsid w:val="5F3C730C"/>
    <w:rsid w:val="5F3D56E4"/>
    <w:rsid w:val="5F3F5F1A"/>
    <w:rsid w:val="5F4A106A"/>
    <w:rsid w:val="5F4D6E91"/>
    <w:rsid w:val="5F4F0E5B"/>
    <w:rsid w:val="5F577D10"/>
    <w:rsid w:val="5F65097C"/>
    <w:rsid w:val="5F6B37BB"/>
    <w:rsid w:val="5F804D35"/>
    <w:rsid w:val="5F822780"/>
    <w:rsid w:val="5F831334"/>
    <w:rsid w:val="5F85175F"/>
    <w:rsid w:val="5F8A4D86"/>
    <w:rsid w:val="5F8A5860"/>
    <w:rsid w:val="5F8C7892"/>
    <w:rsid w:val="5F956394"/>
    <w:rsid w:val="5FA84F86"/>
    <w:rsid w:val="5FAB5BA3"/>
    <w:rsid w:val="5FB01277"/>
    <w:rsid w:val="5FB567E4"/>
    <w:rsid w:val="5FB837BB"/>
    <w:rsid w:val="5FC03B07"/>
    <w:rsid w:val="5FCC549C"/>
    <w:rsid w:val="5FCD5059"/>
    <w:rsid w:val="5FD465B5"/>
    <w:rsid w:val="5FD72BFF"/>
    <w:rsid w:val="5FDC36B7"/>
    <w:rsid w:val="5FEA20BE"/>
    <w:rsid w:val="5FF04565"/>
    <w:rsid w:val="5FF55F4C"/>
    <w:rsid w:val="5FFA069B"/>
    <w:rsid w:val="5FFC156D"/>
    <w:rsid w:val="60025854"/>
    <w:rsid w:val="60031C46"/>
    <w:rsid w:val="60076899"/>
    <w:rsid w:val="600B673E"/>
    <w:rsid w:val="601654D5"/>
    <w:rsid w:val="60165CD1"/>
    <w:rsid w:val="60190079"/>
    <w:rsid w:val="60196D73"/>
    <w:rsid w:val="602045A6"/>
    <w:rsid w:val="60215D53"/>
    <w:rsid w:val="602F2A3B"/>
    <w:rsid w:val="603E3007"/>
    <w:rsid w:val="603E4A2C"/>
    <w:rsid w:val="604162CA"/>
    <w:rsid w:val="60423096"/>
    <w:rsid w:val="604B7B5D"/>
    <w:rsid w:val="605E5A20"/>
    <w:rsid w:val="606E0AFE"/>
    <w:rsid w:val="606F478D"/>
    <w:rsid w:val="607641C6"/>
    <w:rsid w:val="60803296"/>
    <w:rsid w:val="608A17F0"/>
    <w:rsid w:val="608E0069"/>
    <w:rsid w:val="608F34D9"/>
    <w:rsid w:val="609957CA"/>
    <w:rsid w:val="60A32AE1"/>
    <w:rsid w:val="60A54AAB"/>
    <w:rsid w:val="60B92C23"/>
    <w:rsid w:val="60BF6992"/>
    <w:rsid w:val="60C16966"/>
    <w:rsid w:val="60C34F31"/>
    <w:rsid w:val="60C731E5"/>
    <w:rsid w:val="60C846E2"/>
    <w:rsid w:val="60CC405A"/>
    <w:rsid w:val="60D7223F"/>
    <w:rsid w:val="60DD3E9B"/>
    <w:rsid w:val="60DD4245"/>
    <w:rsid w:val="60E32D61"/>
    <w:rsid w:val="60E47381"/>
    <w:rsid w:val="60E71115"/>
    <w:rsid w:val="60EA4085"/>
    <w:rsid w:val="60ED7300"/>
    <w:rsid w:val="60EE6C94"/>
    <w:rsid w:val="60F82E2D"/>
    <w:rsid w:val="60F8475C"/>
    <w:rsid w:val="60FB13BB"/>
    <w:rsid w:val="611037ED"/>
    <w:rsid w:val="61120EE9"/>
    <w:rsid w:val="61172641"/>
    <w:rsid w:val="61187C9C"/>
    <w:rsid w:val="611953E2"/>
    <w:rsid w:val="611A37EA"/>
    <w:rsid w:val="611F0BCF"/>
    <w:rsid w:val="611F1E75"/>
    <w:rsid w:val="61227EAA"/>
    <w:rsid w:val="61232F88"/>
    <w:rsid w:val="612D5920"/>
    <w:rsid w:val="613A51F3"/>
    <w:rsid w:val="61480D1A"/>
    <w:rsid w:val="614B7400"/>
    <w:rsid w:val="614C27B6"/>
    <w:rsid w:val="614C3307"/>
    <w:rsid w:val="61592836"/>
    <w:rsid w:val="615C785F"/>
    <w:rsid w:val="616D55C9"/>
    <w:rsid w:val="617F2E12"/>
    <w:rsid w:val="61837958"/>
    <w:rsid w:val="6186668A"/>
    <w:rsid w:val="618E553F"/>
    <w:rsid w:val="619C315B"/>
    <w:rsid w:val="619D1DAD"/>
    <w:rsid w:val="619E1C26"/>
    <w:rsid w:val="61A905CB"/>
    <w:rsid w:val="61AA64EC"/>
    <w:rsid w:val="61AD1E69"/>
    <w:rsid w:val="61B4189A"/>
    <w:rsid w:val="61B50D1E"/>
    <w:rsid w:val="61B775AD"/>
    <w:rsid w:val="61BC20AC"/>
    <w:rsid w:val="61BC3E5A"/>
    <w:rsid w:val="61C34F54"/>
    <w:rsid w:val="61C70F81"/>
    <w:rsid w:val="61CF7021"/>
    <w:rsid w:val="61DA6873"/>
    <w:rsid w:val="61DB78D3"/>
    <w:rsid w:val="61DC63FD"/>
    <w:rsid w:val="61E215D8"/>
    <w:rsid w:val="61F9399F"/>
    <w:rsid w:val="62045801"/>
    <w:rsid w:val="62052522"/>
    <w:rsid w:val="620C2BA9"/>
    <w:rsid w:val="620F48D2"/>
    <w:rsid w:val="621B3775"/>
    <w:rsid w:val="621E2D67"/>
    <w:rsid w:val="6226104E"/>
    <w:rsid w:val="622A34BA"/>
    <w:rsid w:val="622D1F8A"/>
    <w:rsid w:val="622F3DAB"/>
    <w:rsid w:val="62314848"/>
    <w:rsid w:val="62364782"/>
    <w:rsid w:val="623C2FAB"/>
    <w:rsid w:val="624D09AF"/>
    <w:rsid w:val="624F4CCE"/>
    <w:rsid w:val="62610D92"/>
    <w:rsid w:val="6267666C"/>
    <w:rsid w:val="62736F98"/>
    <w:rsid w:val="62832BCA"/>
    <w:rsid w:val="62886432"/>
    <w:rsid w:val="628A03FC"/>
    <w:rsid w:val="629628FD"/>
    <w:rsid w:val="62A071DE"/>
    <w:rsid w:val="62A212A2"/>
    <w:rsid w:val="62A43B3A"/>
    <w:rsid w:val="62A975EA"/>
    <w:rsid w:val="62BE7A2D"/>
    <w:rsid w:val="62C04412"/>
    <w:rsid w:val="62C6265A"/>
    <w:rsid w:val="62CB2E33"/>
    <w:rsid w:val="62CF3898"/>
    <w:rsid w:val="62DE6052"/>
    <w:rsid w:val="62DF41B1"/>
    <w:rsid w:val="62E8539E"/>
    <w:rsid w:val="62E97F52"/>
    <w:rsid w:val="62EA2C49"/>
    <w:rsid w:val="62ED06F3"/>
    <w:rsid w:val="62EF6A0C"/>
    <w:rsid w:val="62FD6547"/>
    <w:rsid w:val="63037C81"/>
    <w:rsid w:val="631A66BE"/>
    <w:rsid w:val="631F4D38"/>
    <w:rsid w:val="63221E61"/>
    <w:rsid w:val="63286425"/>
    <w:rsid w:val="632B573B"/>
    <w:rsid w:val="633A3BD0"/>
    <w:rsid w:val="633F11E7"/>
    <w:rsid w:val="6344708E"/>
    <w:rsid w:val="634548BF"/>
    <w:rsid w:val="63480776"/>
    <w:rsid w:val="63495BC1"/>
    <w:rsid w:val="634B38FA"/>
    <w:rsid w:val="634B7BDA"/>
    <w:rsid w:val="6353621B"/>
    <w:rsid w:val="635453DD"/>
    <w:rsid w:val="635527B8"/>
    <w:rsid w:val="635A2D6F"/>
    <w:rsid w:val="635A44D0"/>
    <w:rsid w:val="635B6BE1"/>
    <w:rsid w:val="63612F0B"/>
    <w:rsid w:val="636410F3"/>
    <w:rsid w:val="636B1FDC"/>
    <w:rsid w:val="636D4218"/>
    <w:rsid w:val="63753E26"/>
    <w:rsid w:val="637B4AAF"/>
    <w:rsid w:val="6383771F"/>
    <w:rsid w:val="638C1FE5"/>
    <w:rsid w:val="638E6570"/>
    <w:rsid w:val="63941C0D"/>
    <w:rsid w:val="6394356A"/>
    <w:rsid w:val="639D1DD4"/>
    <w:rsid w:val="63AB23D8"/>
    <w:rsid w:val="63C61B2C"/>
    <w:rsid w:val="63D350AF"/>
    <w:rsid w:val="63D40BE9"/>
    <w:rsid w:val="63DA0F0F"/>
    <w:rsid w:val="63E429AE"/>
    <w:rsid w:val="63F63A9C"/>
    <w:rsid w:val="63F86042"/>
    <w:rsid w:val="64045A64"/>
    <w:rsid w:val="64074BCA"/>
    <w:rsid w:val="64102431"/>
    <w:rsid w:val="64182918"/>
    <w:rsid w:val="64194642"/>
    <w:rsid w:val="64233018"/>
    <w:rsid w:val="64244CEF"/>
    <w:rsid w:val="642E473C"/>
    <w:rsid w:val="643248A8"/>
    <w:rsid w:val="643F0D73"/>
    <w:rsid w:val="644840CB"/>
    <w:rsid w:val="646F3406"/>
    <w:rsid w:val="646F590E"/>
    <w:rsid w:val="647461B3"/>
    <w:rsid w:val="648A46E4"/>
    <w:rsid w:val="648C220A"/>
    <w:rsid w:val="649102F8"/>
    <w:rsid w:val="649153C5"/>
    <w:rsid w:val="64925346"/>
    <w:rsid w:val="649966D5"/>
    <w:rsid w:val="64A5243A"/>
    <w:rsid w:val="64A532CB"/>
    <w:rsid w:val="64A77044"/>
    <w:rsid w:val="64A85B29"/>
    <w:rsid w:val="64AD752F"/>
    <w:rsid w:val="64B074AE"/>
    <w:rsid w:val="64B653F3"/>
    <w:rsid w:val="64BD52F5"/>
    <w:rsid w:val="64BD6867"/>
    <w:rsid w:val="64C54047"/>
    <w:rsid w:val="64D15E74"/>
    <w:rsid w:val="64D27E8C"/>
    <w:rsid w:val="64D463D1"/>
    <w:rsid w:val="64D73EDE"/>
    <w:rsid w:val="64D81563"/>
    <w:rsid w:val="64E73576"/>
    <w:rsid w:val="64EF27FA"/>
    <w:rsid w:val="64F531DE"/>
    <w:rsid w:val="64FA04E8"/>
    <w:rsid w:val="64FB2EEB"/>
    <w:rsid w:val="64FD3107"/>
    <w:rsid w:val="650118CA"/>
    <w:rsid w:val="65024685"/>
    <w:rsid w:val="65120A54"/>
    <w:rsid w:val="651D0A13"/>
    <w:rsid w:val="65241DC7"/>
    <w:rsid w:val="65373578"/>
    <w:rsid w:val="653F727C"/>
    <w:rsid w:val="65401246"/>
    <w:rsid w:val="655031D2"/>
    <w:rsid w:val="656730CE"/>
    <w:rsid w:val="656B7D07"/>
    <w:rsid w:val="656E7A26"/>
    <w:rsid w:val="65752C9E"/>
    <w:rsid w:val="657A02B4"/>
    <w:rsid w:val="657B1960"/>
    <w:rsid w:val="65A14299"/>
    <w:rsid w:val="65A23AF6"/>
    <w:rsid w:val="65A42ED0"/>
    <w:rsid w:val="65BA2DA7"/>
    <w:rsid w:val="65D5373C"/>
    <w:rsid w:val="65D8147F"/>
    <w:rsid w:val="65D86A5F"/>
    <w:rsid w:val="65DA5B52"/>
    <w:rsid w:val="65DD40C0"/>
    <w:rsid w:val="65DD434D"/>
    <w:rsid w:val="65E92959"/>
    <w:rsid w:val="66160B21"/>
    <w:rsid w:val="661A53FE"/>
    <w:rsid w:val="661A55F3"/>
    <w:rsid w:val="661F298D"/>
    <w:rsid w:val="66252916"/>
    <w:rsid w:val="66285F62"/>
    <w:rsid w:val="662E7732"/>
    <w:rsid w:val="662F434F"/>
    <w:rsid w:val="66342969"/>
    <w:rsid w:val="663A5C95"/>
    <w:rsid w:val="66402D0B"/>
    <w:rsid w:val="66427902"/>
    <w:rsid w:val="66430FEE"/>
    <w:rsid w:val="66476133"/>
    <w:rsid w:val="66595F36"/>
    <w:rsid w:val="665C5C0C"/>
    <w:rsid w:val="6672542F"/>
    <w:rsid w:val="66783DA8"/>
    <w:rsid w:val="66827145"/>
    <w:rsid w:val="668313CC"/>
    <w:rsid w:val="668914FA"/>
    <w:rsid w:val="668B166D"/>
    <w:rsid w:val="668C4743"/>
    <w:rsid w:val="669C5C74"/>
    <w:rsid w:val="66A55AEA"/>
    <w:rsid w:val="66A82BFF"/>
    <w:rsid w:val="66AF21DF"/>
    <w:rsid w:val="66AF4608"/>
    <w:rsid w:val="66B25085"/>
    <w:rsid w:val="66B95626"/>
    <w:rsid w:val="66BB3468"/>
    <w:rsid w:val="66BB51C1"/>
    <w:rsid w:val="66BB6DD6"/>
    <w:rsid w:val="66C355CB"/>
    <w:rsid w:val="66CF742E"/>
    <w:rsid w:val="66D306F2"/>
    <w:rsid w:val="66D7663C"/>
    <w:rsid w:val="66DD3A79"/>
    <w:rsid w:val="66DE0650"/>
    <w:rsid w:val="66F40270"/>
    <w:rsid w:val="66F44F3A"/>
    <w:rsid w:val="66FB71D3"/>
    <w:rsid w:val="67052492"/>
    <w:rsid w:val="670D44B4"/>
    <w:rsid w:val="67134817"/>
    <w:rsid w:val="67157EF8"/>
    <w:rsid w:val="671749C7"/>
    <w:rsid w:val="671F124A"/>
    <w:rsid w:val="672229B1"/>
    <w:rsid w:val="67263872"/>
    <w:rsid w:val="67264120"/>
    <w:rsid w:val="673174F4"/>
    <w:rsid w:val="67380427"/>
    <w:rsid w:val="67386679"/>
    <w:rsid w:val="6745706C"/>
    <w:rsid w:val="67503596"/>
    <w:rsid w:val="675D7E8D"/>
    <w:rsid w:val="676078A1"/>
    <w:rsid w:val="67674868"/>
    <w:rsid w:val="6772561F"/>
    <w:rsid w:val="67727E2A"/>
    <w:rsid w:val="67730FE6"/>
    <w:rsid w:val="67750BD7"/>
    <w:rsid w:val="677547B7"/>
    <w:rsid w:val="677A33C6"/>
    <w:rsid w:val="677D408C"/>
    <w:rsid w:val="677E1BB2"/>
    <w:rsid w:val="678418BE"/>
    <w:rsid w:val="6792321C"/>
    <w:rsid w:val="67933900"/>
    <w:rsid w:val="67955879"/>
    <w:rsid w:val="67957627"/>
    <w:rsid w:val="679909C4"/>
    <w:rsid w:val="67A31DE8"/>
    <w:rsid w:val="67AD2607"/>
    <w:rsid w:val="67B0620F"/>
    <w:rsid w:val="67C05807"/>
    <w:rsid w:val="67C07538"/>
    <w:rsid w:val="67D12BF7"/>
    <w:rsid w:val="67DD4957"/>
    <w:rsid w:val="67E16AD1"/>
    <w:rsid w:val="67E265E5"/>
    <w:rsid w:val="67EC2E8C"/>
    <w:rsid w:val="67F00D02"/>
    <w:rsid w:val="67F65A44"/>
    <w:rsid w:val="67FB1F60"/>
    <w:rsid w:val="67FD341E"/>
    <w:rsid w:val="68000819"/>
    <w:rsid w:val="680447AD"/>
    <w:rsid w:val="68065884"/>
    <w:rsid w:val="68187A74"/>
    <w:rsid w:val="681F6961"/>
    <w:rsid w:val="68262975"/>
    <w:rsid w:val="682A2880"/>
    <w:rsid w:val="682A6F1C"/>
    <w:rsid w:val="682B3AE8"/>
    <w:rsid w:val="683010FE"/>
    <w:rsid w:val="68320F9A"/>
    <w:rsid w:val="68327EF7"/>
    <w:rsid w:val="683636B0"/>
    <w:rsid w:val="68454B74"/>
    <w:rsid w:val="684702DD"/>
    <w:rsid w:val="68610A2F"/>
    <w:rsid w:val="68683F40"/>
    <w:rsid w:val="686C2F70"/>
    <w:rsid w:val="687151CA"/>
    <w:rsid w:val="6873723D"/>
    <w:rsid w:val="687B392E"/>
    <w:rsid w:val="68805514"/>
    <w:rsid w:val="688F2FF2"/>
    <w:rsid w:val="688F3E69"/>
    <w:rsid w:val="68905759"/>
    <w:rsid w:val="68951C23"/>
    <w:rsid w:val="68972A5B"/>
    <w:rsid w:val="689E42BA"/>
    <w:rsid w:val="68A51AEC"/>
    <w:rsid w:val="68AE48A9"/>
    <w:rsid w:val="68B05C52"/>
    <w:rsid w:val="68B57855"/>
    <w:rsid w:val="68BB3728"/>
    <w:rsid w:val="68CA77A4"/>
    <w:rsid w:val="68D94CE2"/>
    <w:rsid w:val="68E41B9D"/>
    <w:rsid w:val="68E56022"/>
    <w:rsid w:val="68F518A8"/>
    <w:rsid w:val="68F83BCF"/>
    <w:rsid w:val="6900306C"/>
    <w:rsid w:val="69016300"/>
    <w:rsid w:val="690F05BC"/>
    <w:rsid w:val="69197CB6"/>
    <w:rsid w:val="691F0BCF"/>
    <w:rsid w:val="6922138F"/>
    <w:rsid w:val="69237532"/>
    <w:rsid w:val="692C7B17"/>
    <w:rsid w:val="692F13B6"/>
    <w:rsid w:val="69316E2F"/>
    <w:rsid w:val="69342E70"/>
    <w:rsid w:val="69344055"/>
    <w:rsid w:val="69382960"/>
    <w:rsid w:val="69420EA7"/>
    <w:rsid w:val="6942417B"/>
    <w:rsid w:val="694D0207"/>
    <w:rsid w:val="694E2071"/>
    <w:rsid w:val="694F2539"/>
    <w:rsid w:val="6951757E"/>
    <w:rsid w:val="6954706E"/>
    <w:rsid w:val="695E1B9A"/>
    <w:rsid w:val="6960452B"/>
    <w:rsid w:val="69766163"/>
    <w:rsid w:val="697A3B33"/>
    <w:rsid w:val="697D4817"/>
    <w:rsid w:val="69845BA5"/>
    <w:rsid w:val="698A0CE2"/>
    <w:rsid w:val="698E2580"/>
    <w:rsid w:val="698E6A48"/>
    <w:rsid w:val="698F2D38"/>
    <w:rsid w:val="69913E34"/>
    <w:rsid w:val="6997124F"/>
    <w:rsid w:val="699778D1"/>
    <w:rsid w:val="6998062A"/>
    <w:rsid w:val="69983E33"/>
    <w:rsid w:val="699F09C2"/>
    <w:rsid w:val="699F478D"/>
    <w:rsid w:val="69A434BC"/>
    <w:rsid w:val="69A851D9"/>
    <w:rsid w:val="69AB3475"/>
    <w:rsid w:val="69AE100B"/>
    <w:rsid w:val="69AE677E"/>
    <w:rsid w:val="69B5065E"/>
    <w:rsid w:val="69BC0978"/>
    <w:rsid w:val="69BD3DCC"/>
    <w:rsid w:val="69BE439F"/>
    <w:rsid w:val="69C6767A"/>
    <w:rsid w:val="69CF11C8"/>
    <w:rsid w:val="69D41F5D"/>
    <w:rsid w:val="69D44760"/>
    <w:rsid w:val="69DB04C6"/>
    <w:rsid w:val="69E50D30"/>
    <w:rsid w:val="69E50D38"/>
    <w:rsid w:val="69F2659E"/>
    <w:rsid w:val="69FE26DB"/>
    <w:rsid w:val="6A05320C"/>
    <w:rsid w:val="6A066A76"/>
    <w:rsid w:val="6A0C3794"/>
    <w:rsid w:val="6A0E3DF9"/>
    <w:rsid w:val="6A1177C6"/>
    <w:rsid w:val="6A126814"/>
    <w:rsid w:val="6A18256A"/>
    <w:rsid w:val="6A1F4FE5"/>
    <w:rsid w:val="6A2829D5"/>
    <w:rsid w:val="6A2831FF"/>
    <w:rsid w:val="6A39656C"/>
    <w:rsid w:val="6A4E61B3"/>
    <w:rsid w:val="6A4E7F61"/>
    <w:rsid w:val="6A520EC7"/>
    <w:rsid w:val="6A574FAB"/>
    <w:rsid w:val="6A582B8E"/>
    <w:rsid w:val="6A58796D"/>
    <w:rsid w:val="6A647785"/>
    <w:rsid w:val="6A7259FE"/>
    <w:rsid w:val="6A7554EE"/>
    <w:rsid w:val="6A7C062B"/>
    <w:rsid w:val="6A835E5D"/>
    <w:rsid w:val="6A8E6893"/>
    <w:rsid w:val="6A9406F3"/>
    <w:rsid w:val="6A9A31A7"/>
    <w:rsid w:val="6AA23DFF"/>
    <w:rsid w:val="6AA53D4D"/>
    <w:rsid w:val="6AA836B6"/>
    <w:rsid w:val="6AB414BB"/>
    <w:rsid w:val="6ABE50E7"/>
    <w:rsid w:val="6ABF6769"/>
    <w:rsid w:val="6AC534A1"/>
    <w:rsid w:val="6ACA583A"/>
    <w:rsid w:val="6AD27C23"/>
    <w:rsid w:val="6AD83E47"/>
    <w:rsid w:val="6AE61F48"/>
    <w:rsid w:val="6AEF74BC"/>
    <w:rsid w:val="6AF87E20"/>
    <w:rsid w:val="6B0828B2"/>
    <w:rsid w:val="6B1428BB"/>
    <w:rsid w:val="6B19231D"/>
    <w:rsid w:val="6B1E4CC8"/>
    <w:rsid w:val="6B1F7E37"/>
    <w:rsid w:val="6B293E85"/>
    <w:rsid w:val="6B2F38EF"/>
    <w:rsid w:val="6B322639"/>
    <w:rsid w:val="6B33774D"/>
    <w:rsid w:val="6B3573FC"/>
    <w:rsid w:val="6B3D6DE6"/>
    <w:rsid w:val="6B4849B1"/>
    <w:rsid w:val="6B575266"/>
    <w:rsid w:val="6B644F15"/>
    <w:rsid w:val="6B672EF0"/>
    <w:rsid w:val="6B7B4D86"/>
    <w:rsid w:val="6B824368"/>
    <w:rsid w:val="6B8E2D0B"/>
    <w:rsid w:val="6B953331"/>
    <w:rsid w:val="6B9D6AAA"/>
    <w:rsid w:val="6BA8544F"/>
    <w:rsid w:val="6BAA1DC1"/>
    <w:rsid w:val="6BAC3463"/>
    <w:rsid w:val="6BAE0CB8"/>
    <w:rsid w:val="6BB431B7"/>
    <w:rsid w:val="6BCE176C"/>
    <w:rsid w:val="6BD61FBC"/>
    <w:rsid w:val="6BE16873"/>
    <w:rsid w:val="6BEC631B"/>
    <w:rsid w:val="6C021E4C"/>
    <w:rsid w:val="6C0C363E"/>
    <w:rsid w:val="6C1227AE"/>
    <w:rsid w:val="6C127BE8"/>
    <w:rsid w:val="6C1A73C1"/>
    <w:rsid w:val="6C1C6154"/>
    <w:rsid w:val="6C1E48A1"/>
    <w:rsid w:val="6C275586"/>
    <w:rsid w:val="6C2A4678"/>
    <w:rsid w:val="6C2B17D2"/>
    <w:rsid w:val="6C3917ED"/>
    <w:rsid w:val="6C3B3ECF"/>
    <w:rsid w:val="6C420F8A"/>
    <w:rsid w:val="6C437E2A"/>
    <w:rsid w:val="6C4401DE"/>
    <w:rsid w:val="6C4626F9"/>
    <w:rsid w:val="6C465394"/>
    <w:rsid w:val="6C5A5E0A"/>
    <w:rsid w:val="6C627CF4"/>
    <w:rsid w:val="6C636C38"/>
    <w:rsid w:val="6C755A37"/>
    <w:rsid w:val="6C77456B"/>
    <w:rsid w:val="6C7D068A"/>
    <w:rsid w:val="6C871509"/>
    <w:rsid w:val="6C88775B"/>
    <w:rsid w:val="6C91761A"/>
    <w:rsid w:val="6C9E6F7E"/>
    <w:rsid w:val="6CC5505F"/>
    <w:rsid w:val="6CCE1F3F"/>
    <w:rsid w:val="6CDB176D"/>
    <w:rsid w:val="6CDB65B5"/>
    <w:rsid w:val="6CDC3602"/>
    <w:rsid w:val="6CDE2CE5"/>
    <w:rsid w:val="6CE1330F"/>
    <w:rsid w:val="6CE847A7"/>
    <w:rsid w:val="6CED0B29"/>
    <w:rsid w:val="6CEE3077"/>
    <w:rsid w:val="6CF71342"/>
    <w:rsid w:val="6CF92406"/>
    <w:rsid w:val="6CFC36B8"/>
    <w:rsid w:val="6CFC3B75"/>
    <w:rsid w:val="6D0072BA"/>
    <w:rsid w:val="6D013069"/>
    <w:rsid w:val="6D0B3D2A"/>
    <w:rsid w:val="6D185066"/>
    <w:rsid w:val="6D194713"/>
    <w:rsid w:val="6D2463F9"/>
    <w:rsid w:val="6D283D50"/>
    <w:rsid w:val="6D2B65E5"/>
    <w:rsid w:val="6D337226"/>
    <w:rsid w:val="6D436A7D"/>
    <w:rsid w:val="6D443C83"/>
    <w:rsid w:val="6D465A44"/>
    <w:rsid w:val="6D4C68CF"/>
    <w:rsid w:val="6D541232"/>
    <w:rsid w:val="6D570B3B"/>
    <w:rsid w:val="6D581489"/>
    <w:rsid w:val="6D586C71"/>
    <w:rsid w:val="6D5A1EC1"/>
    <w:rsid w:val="6D5A1F3F"/>
    <w:rsid w:val="6D5F52DA"/>
    <w:rsid w:val="6D634B3D"/>
    <w:rsid w:val="6D675D52"/>
    <w:rsid w:val="6D7318BB"/>
    <w:rsid w:val="6D8445D4"/>
    <w:rsid w:val="6D853C9A"/>
    <w:rsid w:val="6D8C5028"/>
    <w:rsid w:val="6D94212F"/>
    <w:rsid w:val="6D99333A"/>
    <w:rsid w:val="6DAC72B5"/>
    <w:rsid w:val="6DB31AE8"/>
    <w:rsid w:val="6DB34098"/>
    <w:rsid w:val="6DB545B6"/>
    <w:rsid w:val="6DBC51E2"/>
    <w:rsid w:val="6DC02F24"/>
    <w:rsid w:val="6DCC5A70"/>
    <w:rsid w:val="6DE02FB4"/>
    <w:rsid w:val="6DE244ED"/>
    <w:rsid w:val="6DE978CF"/>
    <w:rsid w:val="6DF7068A"/>
    <w:rsid w:val="6DF82FAB"/>
    <w:rsid w:val="6DFD069E"/>
    <w:rsid w:val="6E0066B1"/>
    <w:rsid w:val="6E061521"/>
    <w:rsid w:val="6E22773B"/>
    <w:rsid w:val="6E2307BA"/>
    <w:rsid w:val="6E2912F0"/>
    <w:rsid w:val="6E301E58"/>
    <w:rsid w:val="6E3A0F28"/>
    <w:rsid w:val="6E3D363E"/>
    <w:rsid w:val="6E3D732E"/>
    <w:rsid w:val="6E407BC1"/>
    <w:rsid w:val="6E416A10"/>
    <w:rsid w:val="6E4770F5"/>
    <w:rsid w:val="6E514CED"/>
    <w:rsid w:val="6E566A88"/>
    <w:rsid w:val="6E587601"/>
    <w:rsid w:val="6E785035"/>
    <w:rsid w:val="6E841E7A"/>
    <w:rsid w:val="6E847687"/>
    <w:rsid w:val="6E8C5638"/>
    <w:rsid w:val="6E8E3022"/>
    <w:rsid w:val="6E985C4F"/>
    <w:rsid w:val="6E9C3A17"/>
    <w:rsid w:val="6E9C573F"/>
    <w:rsid w:val="6EA14B04"/>
    <w:rsid w:val="6EA3225C"/>
    <w:rsid w:val="6EAC0E51"/>
    <w:rsid w:val="6EB563D5"/>
    <w:rsid w:val="6EB9286D"/>
    <w:rsid w:val="6EC95E08"/>
    <w:rsid w:val="6ECC7228"/>
    <w:rsid w:val="6ED92677"/>
    <w:rsid w:val="6EDC7C8E"/>
    <w:rsid w:val="6EF23832"/>
    <w:rsid w:val="6EF957F8"/>
    <w:rsid w:val="6EFE2DFA"/>
    <w:rsid w:val="6F042205"/>
    <w:rsid w:val="6F13402B"/>
    <w:rsid w:val="6F145BFE"/>
    <w:rsid w:val="6F225983"/>
    <w:rsid w:val="6F29138D"/>
    <w:rsid w:val="6F310344"/>
    <w:rsid w:val="6F327E52"/>
    <w:rsid w:val="6F3753FD"/>
    <w:rsid w:val="6F3967A3"/>
    <w:rsid w:val="6F427612"/>
    <w:rsid w:val="6F4A3BEF"/>
    <w:rsid w:val="6F4B7632"/>
    <w:rsid w:val="6F556AE2"/>
    <w:rsid w:val="6F5C6C7D"/>
    <w:rsid w:val="6F5D0E73"/>
    <w:rsid w:val="6F66482C"/>
    <w:rsid w:val="6F6768E0"/>
    <w:rsid w:val="6F6E51BD"/>
    <w:rsid w:val="6F7C2F7F"/>
    <w:rsid w:val="6F810491"/>
    <w:rsid w:val="6F944668"/>
    <w:rsid w:val="6F9476CF"/>
    <w:rsid w:val="6F975238"/>
    <w:rsid w:val="6F991C7F"/>
    <w:rsid w:val="6FA138F1"/>
    <w:rsid w:val="6FA523D2"/>
    <w:rsid w:val="6FA70F2B"/>
    <w:rsid w:val="6FBF03EE"/>
    <w:rsid w:val="6FC71822"/>
    <w:rsid w:val="6FD21F19"/>
    <w:rsid w:val="6FD732AA"/>
    <w:rsid w:val="6FFC5590"/>
    <w:rsid w:val="6FFE4FC7"/>
    <w:rsid w:val="6FFE5F86"/>
    <w:rsid w:val="70052FBB"/>
    <w:rsid w:val="70072320"/>
    <w:rsid w:val="700C1140"/>
    <w:rsid w:val="70113D8F"/>
    <w:rsid w:val="70134778"/>
    <w:rsid w:val="701B7472"/>
    <w:rsid w:val="701D384E"/>
    <w:rsid w:val="70202000"/>
    <w:rsid w:val="70216130"/>
    <w:rsid w:val="702249EF"/>
    <w:rsid w:val="70525E2A"/>
    <w:rsid w:val="70573F53"/>
    <w:rsid w:val="70602BA2"/>
    <w:rsid w:val="7064403B"/>
    <w:rsid w:val="706B4BC5"/>
    <w:rsid w:val="706D1DD0"/>
    <w:rsid w:val="70765487"/>
    <w:rsid w:val="70797F31"/>
    <w:rsid w:val="707C313D"/>
    <w:rsid w:val="707D334E"/>
    <w:rsid w:val="7084648B"/>
    <w:rsid w:val="70856B87"/>
    <w:rsid w:val="70893AA1"/>
    <w:rsid w:val="7093761B"/>
    <w:rsid w:val="70974FAB"/>
    <w:rsid w:val="709862A0"/>
    <w:rsid w:val="709B37D5"/>
    <w:rsid w:val="709C1EDC"/>
    <w:rsid w:val="70A70C79"/>
    <w:rsid w:val="70AC5255"/>
    <w:rsid w:val="70AE7EA9"/>
    <w:rsid w:val="70AF6D48"/>
    <w:rsid w:val="70B748C5"/>
    <w:rsid w:val="70C355DB"/>
    <w:rsid w:val="70D05FAD"/>
    <w:rsid w:val="70D3219F"/>
    <w:rsid w:val="70D527EE"/>
    <w:rsid w:val="70DC1E23"/>
    <w:rsid w:val="70E7439E"/>
    <w:rsid w:val="70E94540"/>
    <w:rsid w:val="70F01D72"/>
    <w:rsid w:val="70F22B5B"/>
    <w:rsid w:val="70F74157"/>
    <w:rsid w:val="710D679A"/>
    <w:rsid w:val="711B1A70"/>
    <w:rsid w:val="711D324B"/>
    <w:rsid w:val="711D7258"/>
    <w:rsid w:val="71280CFC"/>
    <w:rsid w:val="7128128D"/>
    <w:rsid w:val="71352C64"/>
    <w:rsid w:val="71395E40"/>
    <w:rsid w:val="713A2FED"/>
    <w:rsid w:val="713C53B2"/>
    <w:rsid w:val="715559E4"/>
    <w:rsid w:val="715B5300"/>
    <w:rsid w:val="715C7408"/>
    <w:rsid w:val="7160509D"/>
    <w:rsid w:val="7161378B"/>
    <w:rsid w:val="716D3CED"/>
    <w:rsid w:val="717007BD"/>
    <w:rsid w:val="71736419"/>
    <w:rsid w:val="717B7324"/>
    <w:rsid w:val="717B788E"/>
    <w:rsid w:val="71937EFB"/>
    <w:rsid w:val="71950746"/>
    <w:rsid w:val="719C15B2"/>
    <w:rsid w:val="71A0072E"/>
    <w:rsid w:val="71AA4D4E"/>
    <w:rsid w:val="71B22914"/>
    <w:rsid w:val="71CC767E"/>
    <w:rsid w:val="71D27F8A"/>
    <w:rsid w:val="71D451F0"/>
    <w:rsid w:val="71E73175"/>
    <w:rsid w:val="71F47A9F"/>
    <w:rsid w:val="71FB47DA"/>
    <w:rsid w:val="720A716D"/>
    <w:rsid w:val="721750DD"/>
    <w:rsid w:val="724B14E9"/>
    <w:rsid w:val="72523032"/>
    <w:rsid w:val="72553024"/>
    <w:rsid w:val="7257401A"/>
    <w:rsid w:val="7262716C"/>
    <w:rsid w:val="72724B17"/>
    <w:rsid w:val="72787C55"/>
    <w:rsid w:val="727A7B45"/>
    <w:rsid w:val="72824C4C"/>
    <w:rsid w:val="728922F8"/>
    <w:rsid w:val="728C1627"/>
    <w:rsid w:val="72915E3F"/>
    <w:rsid w:val="72916738"/>
    <w:rsid w:val="72A9136A"/>
    <w:rsid w:val="72AB162A"/>
    <w:rsid w:val="72B726D6"/>
    <w:rsid w:val="72C405F2"/>
    <w:rsid w:val="72CF3C55"/>
    <w:rsid w:val="72D24578"/>
    <w:rsid w:val="72E01973"/>
    <w:rsid w:val="72E11EB6"/>
    <w:rsid w:val="72E476B5"/>
    <w:rsid w:val="72FD308A"/>
    <w:rsid w:val="730241B0"/>
    <w:rsid w:val="730B3C6C"/>
    <w:rsid w:val="730F15F2"/>
    <w:rsid w:val="73117C4E"/>
    <w:rsid w:val="73122968"/>
    <w:rsid w:val="731F5D5E"/>
    <w:rsid w:val="73247AB1"/>
    <w:rsid w:val="73297C92"/>
    <w:rsid w:val="732A0E43"/>
    <w:rsid w:val="732B3A7D"/>
    <w:rsid w:val="73307239"/>
    <w:rsid w:val="73332D47"/>
    <w:rsid w:val="735A3228"/>
    <w:rsid w:val="73651147"/>
    <w:rsid w:val="737138B7"/>
    <w:rsid w:val="737D2606"/>
    <w:rsid w:val="7383355C"/>
    <w:rsid w:val="73870A9B"/>
    <w:rsid w:val="738839D1"/>
    <w:rsid w:val="73887DCB"/>
    <w:rsid w:val="738D7CC4"/>
    <w:rsid w:val="73905DAB"/>
    <w:rsid w:val="73944C37"/>
    <w:rsid w:val="739941C8"/>
    <w:rsid w:val="73A34D43"/>
    <w:rsid w:val="73A86934"/>
    <w:rsid w:val="73B01345"/>
    <w:rsid w:val="73B450CC"/>
    <w:rsid w:val="73C51AD5"/>
    <w:rsid w:val="73CD0149"/>
    <w:rsid w:val="73D72649"/>
    <w:rsid w:val="73D85635"/>
    <w:rsid w:val="73DC07FC"/>
    <w:rsid w:val="73DE730E"/>
    <w:rsid w:val="73E065F8"/>
    <w:rsid w:val="73E147D1"/>
    <w:rsid w:val="73E42157"/>
    <w:rsid w:val="73F531FC"/>
    <w:rsid w:val="73F97190"/>
    <w:rsid w:val="73FC3BBA"/>
    <w:rsid w:val="7406081F"/>
    <w:rsid w:val="74097CEA"/>
    <w:rsid w:val="740D2C3B"/>
    <w:rsid w:val="741915E0"/>
    <w:rsid w:val="741E793C"/>
    <w:rsid w:val="74235FBB"/>
    <w:rsid w:val="74304B45"/>
    <w:rsid w:val="74307FAD"/>
    <w:rsid w:val="743D4012"/>
    <w:rsid w:val="744116B5"/>
    <w:rsid w:val="744859F9"/>
    <w:rsid w:val="74493C73"/>
    <w:rsid w:val="744C0277"/>
    <w:rsid w:val="744C71C8"/>
    <w:rsid w:val="744F7B1A"/>
    <w:rsid w:val="7450329B"/>
    <w:rsid w:val="745150F7"/>
    <w:rsid w:val="745E3944"/>
    <w:rsid w:val="745F1C3E"/>
    <w:rsid w:val="746C354F"/>
    <w:rsid w:val="7479421A"/>
    <w:rsid w:val="74803B1E"/>
    <w:rsid w:val="748424F9"/>
    <w:rsid w:val="749A44CF"/>
    <w:rsid w:val="74B32232"/>
    <w:rsid w:val="74B66E2F"/>
    <w:rsid w:val="74BD678C"/>
    <w:rsid w:val="74C72DEA"/>
    <w:rsid w:val="74D67EE2"/>
    <w:rsid w:val="74DB6895"/>
    <w:rsid w:val="74E220C3"/>
    <w:rsid w:val="74F13072"/>
    <w:rsid w:val="74F313EB"/>
    <w:rsid w:val="74F65277"/>
    <w:rsid w:val="74F72AC9"/>
    <w:rsid w:val="74F76EEE"/>
    <w:rsid w:val="74FD086C"/>
    <w:rsid w:val="750445C0"/>
    <w:rsid w:val="75052A57"/>
    <w:rsid w:val="750758DC"/>
    <w:rsid w:val="750E0C64"/>
    <w:rsid w:val="75105E7E"/>
    <w:rsid w:val="752444F8"/>
    <w:rsid w:val="75273889"/>
    <w:rsid w:val="75371063"/>
    <w:rsid w:val="75385A96"/>
    <w:rsid w:val="753C66EE"/>
    <w:rsid w:val="75432889"/>
    <w:rsid w:val="75537797"/>
    <w:rsid w:val="755723C0"/>
    <w:rsid w:val="75600BEA"/>
    <w:rsid w:val="75671ED7"/>
    <w:rsid w:val="75730B67"/>
    <w:rsid w:val="75757D01"/>
    <w:rsid w:val="758548C9"/>
    <w:rsid w:val="758E56B6"/>
    <w:rsid w:val="75A153E9"/>
    <w:rsid w:val="75A4312B"/>
    <w:rsid w:val="75A61DBB"/>
    <w:rsid w:val="75A81DDF"/>
    <w:rsid w:val="75BC2B6F"/>
    <w:rsid w:val="75C0373B"/>
    <w:rsid w:val="75C75614"/>
    <w:rsid w:val="75D14111"/>
    <w:rsid w:val="75F32E84"/>
    <w:rsid w:val="75F37590"/>
    <w:rsid w:val="75F85FF0"/>
    <w:rsid w:val="76001688"/>
    <w:rsid w:val="76022B63"/>
    <w:rsid w:val="76114DF8"/>
    <w:rsid w:val="761657C9"/>
    <w:rsid w:val="761A4999"/>
    <w:rsid w:val="76286F0E"/>
    <w:rsid w:val="762A6006"/>
    <w:rsid w:val="76305B69"/>
    <w:rsid w:val="7635099D"/>
    <w:rsid w:val="763D210E"/>
    <w:rsid w:val="764220F8"/>
    <w:rsid w:val="76436DE0"/>
    <w:rsid w:val="76476A9B"/>
    <w:rsid w:val="764C17F9"/>
    <w:rsid w:val="764F6467"/>
    <w:rsid w:val="76521EE9"/>
    <w:rsid w:val="76532F80"/>
    <w:rsid w:val="765608C9"/>
    <w:rsid w:val="765E645F"/>
    <w:rsid w:val="76653E19"/>
    <w:rsid w:val="766F7295"/>
    <w:rsid w:val="76745E68"/>
    <w:rsid w:val="76761669"/>
    <w:rsid w:val="767E1BCE"/>
    <w:rsid w:val="767E6C89"/>
    <w:rsid w:val="767F741E"/>
    <w:rsid w:val="76816D8D"/>
    <w:rsid w:val="76867D51"/>
    <w:rsid w:val="768D24F5"/>
    <w:rsid w:val="76956733"/>
    <w:rsid w:val="76991F49"/>
    <w:rsid w:val="769A2923"/>
    <w:rsid w:val="769A41DB"/>
    <w:rsid w:val="76AA5525"/>
    <w:rsid w:val="76AD71B6"/>
    <w:rsid w:val="76B15C6A"/>
    <w:rsid w:val="76B34DC5"/>
    <w:rsid w:val="76BE1FCB"/>
    <w:rsid w:val="76CC0B8C"/>
    <w:rsid w:val="76DA47A2"/>
    <w:rsid w:val="76E85717"/>
    <w:rsid w:val="76EC27E1"/>
    <w:rsid w:val="76EE28B0"/>
    <w:rsid w:val="76F251A5"/>
    <w:rsid w:val="76F27EC5"/>
    <w:rsid w:val="76F854DD"/>
    <w:rsid w:val="76FB4FCD"/>
    <w:rsid w:val="76FE0619"/>
    <w:rsid w:val="77133CA5"/>
    <w:rsid w:val="7715031B"/>
    <w:rsid w:val="77185B7F"/>
    <w:rsid w:val="771951E0"/>
    <w:rsid w:val="7726311D"/>
    <w:rsid w:val="77286A7D"/>
    <w:rsid w:val="77377214"/>
    <w:rsid w:val="7741314E"/>
    <w:rsid w:val="774626EC"/>
    <w:rsid w:val="77610F13"/>
    <w:rsid w:val="77644920"/>
    <w:rsid w:val="776B430B"/>
    <w:rsid w:val="777032C5"/>
    <w:rsid w:val="7771703D"/>
    <w:rsid w:val="77762421"/>
    <w:rsid w:val="777A725B"/>
    <w:rsid w:val="77862AE9"/>
    <w:rsid w:val="778E7BEF"/>
    <w:rsid w:val="779104F2"/>
    <w:rsid w:val="779C0950"/>
    <w:rsid w:val="77A0522A"/>
    <w:rsid w:val="77A269F6"/>
    <w:rsid w:val="77AA223C"/>
    <w:rsid w:val="77B51620"/>
    <w:rsid w:val="77B56B1F"/>
    <w:rsid w:val="77B87F95"/>
    <w:rsid w:val="77B92EBE"/>
    <w:rsid w:val="77BC3E07"/>
    <w:rsid w:val="77C04DF9"/>
    <w:rsid w:val="77C33718"/>
    <w:rsid w:val="77C4258D"/>
    <w:rsid w:val="77D30FFF"/>
    <w:rsid w:val="77D45F4A"/>
    <w:rsid w:val="77DB67A7"/>
    <w:rsid w:val="77DF1812"/>
    <w:rsid w:val="77E02B9B"/>
    <w:rsid w:val="77E10130"/>
    <w:rsid w:val="77E45A61"/>
    <w:rsid w:val="77EC0499"/>
    <w:rsid w:val="77ED4B48"/>
    <w:rsid w:val="77F57C6E"/>
    <w:rsid w:val="77FB72B3"/>
    <w:rsid w:val="780F09F4"/>
    <w:rsid w:val="780F0D30"/>
    <w:rsid w:val="78113BDD"/>
    <w:rsid w:val="78135011"/>
    <w:rsid w:val="78174088"/>
    <w:rsid w:val="7826607A"/>
    <w:rsid w:val="78393E3C"/>
    <w:rsid w:val="7847671C"/>
    <w:rsid w:val="78477250"/>
    <w:rsid w:val="78547B29"/>
    <w:rsid w:val="78650389"/>
    <w:rsid w:val="786642FA"/>
    <w:rsid w:val="78693EBB"/>
    <w:rsid w:val="7874199A"/>
    <w:rsid w:val="7874674C"/>
    <w:rsid w:val="787768D5"/>
    <w:rsid w:val="78857244"/>
    <w:rsid w:val="788972E8"/>
    <w:rsid w:val="789607FB"/>
    <w:rsid w:val="789804DC"/>
    <w:rsid w:val="78992CEF"/>
    <w:rsid w:val="78A90480"/>
    <w:rsid w:val="78AC4C0A"/>
    <w:rsid w:val="78B24758"/>
    <w:rsid w:val="78C733B9"/>
    <w:rsid w:val="78D15FE5"/>
    <w:rsid w:val="78F07340"/>
    <w:rsid w:val="78F26F7B"/>
    <w:rsid w:val="78F84FB9"/>
    <w:rsid w:val="790258B5"/>
    <w:rsid w:val="793E7C5B"/>
    <w:rsid w:val="794762A8"/>
    <w:rsid w:val="794E79D3"/>
    <w:rsid w:val="79655C65"/>
    <w:rsid w:val="796638A0"/>
    <w:rsid w:val="797775C4"/>
    <w:rsid w:val="797A6F35"/>
    <w:rsid w:val="79837B1F"/>
    <w:rsid w:val="79870D9A"/>
    <w:rsid w:val="798B03F2"/>
    <w:rsid w:val="7993773F"/>
    <w:rsid w:val="79997AD2"/>
    <w:rsid w:val="799D48DA"/>
    <w:rsid w:val="79A25BD4"/>
    <w:rsid w:val="79A51EE9"/>
    <w:rsid w:val="79A63514"/>
    <w:rsid w:val="79CB2FD9"/>
    <w:rsid w:val="79CF3163"/>
    <w:rsid w:val="79D248D3"/>
    <w:rsid w:val="79D71A33"/>
    <w:rsid w:val="79D77B87"/>
    <w:rsid w:val="79DC66C6"/>
    <w:rsid w:val="79E21A8A"/>
    <w:rsid w:val="79E70CF9"/>
    <w:rsid w:val="79EF68D5"/>
    <w:rsid w:val="79F441A9"/>
    <w:rsid w:val="79FC3536"/>
    <w:rsid w:val="7A006404"/>
    <w:rsid w:val="7A056BAC"/>
    <w:rsid w:val="7A077650"/>
    <w:rsid w:val="7A097A01"/>
    <w:rsid w:val="7A0B19CB"/>
    <w:rsid w:val="7A0D1584"/>
    <w:rsid w:val="7A162166"/>
    <w:rsid w:val="7A1940E8"/>
    <w:rsid w:val="7A1E16FE"/>
    <w:rsid w:val="7A2159E7"/>
    <w:rsid w:val="7A230EEF"/>
    <w:rsid w:val="7A2B087D"/>
    <w:rsid w:val="7A30434A"/>
    <w:rsid w:val="7A3251AA"/>
    <w:rsid w:val="7A364017"/>
    <w:rsid w:val="7A543372"/>
    <w:rsid w:val="7A596109"/>
    <w:rsid w:val="7A5F54F2"/>
    <w:rsid w:val="7A695DA0"/>
    <w:rsid w:val="7A6D61E2"/>
    <w:rsid w:val="7A717781"/>
    <w:rsid w:val="7A8076C1"/>
    <w:rsid w:val="7A8265E1"/>
    <w:rsid w:val="7A881C12"/>
    <w:rsid w:val="7A903C7E"/>
    <w:rsid w:val="7A996D3E"/>
    <w:rsid w:val="7A9D05D5"/>
    <w:rsid w:val="7AAC4F5C"/>
    <w:rsid w:val="7AAD1B9E"/>
    <w:rsid w:val="7AAD1C06"/>
    <w:rsid w:val="7AAD715B"/>
    <w:rsid w:val="7AAE4676"/>
    <w:rsid w:val="7AB17307"/>
    <w:rsid w:val="7AB61937"/>
    <w:rsid w:val="7ABE1F90"/>
    <w:rsid w:val="7ADB3D1A"/>
    <w:rsid w:val="7AE44FF0"/>
    <w:rsid w:val="7AE74C21"/>
    <w:rsid w:val="7AED625C"/>
    <w:rsid w:val="7AF95CC7"/>
    <w:rsid w:val="7B05466C"/>
    <w:rsid w:val="7B0F55C7"/>
    <w:rsid w:val="7B1227F8"/>
    <w:rsid w:val="7B146EC2"/>
    <w:rsid w:val="7B1C54E5"/>
    <w:rsid w:val="7B204016"/>
    <w:rsid w:val="7B234AF2"/>
    <w:rsid w:val="7B2815BE"/>
    <w:rsid w:val="7B29035B"/>
    <w:rsid w:val="7B34197A"/>
    <w:rsid w:val="7B3471FE"/>
    <w:rsid w:val="7B3665D4"/>
    <w:rsid w:val="7B36670C"/>
    <w:rsid w:val="7B3E6EE5"/>
    <w:rsid w:val="7B3F038B"/>
    <w:rsid w:val="7B430AC2"/>
    <w:rsid w:val="7B5B603A"/>
    <w:rsid w:val="7B686D42"/>
    <w:rsid w:val="7B6E33D5"/>
    <w:rsid w:val="7B841746"/>
    <w:rsid w:val="7B8871AD"/>
    <w:rsid w:val="7B896839"/>
    <w:rsid w:val="7B8A5F60"/>
    <w:rsid w:val="7B8B18B3"/>
    <w:rsid w:val="7B902188"/>
    <w:rsid w:val="7B9A7C65"/>
    <w:rsid w:val="7BA1502A"/>
    <w:rsid w:val="7BA619AB"/>
    <w:rsid w:val="7BB408EF"/>
    <w:rsid w:val="7BC94525"/>
    <w:rsid w:val="7BD5386A"/>
    <w:rsid w:val="7BD87DAF"/>
    <w:rsid w:val="7BE454E1"/>
    <w:rsid w:val="7C006433"/>
    <w:rsid w:val="7C077F70"/>
    <w:rsid w:val="7C08209B"/>
    <w:rsid w:val="7C0B5619"/>
    <w:rsid w:val="7C214A9B"/>
    <w:rsid w:val="7C283298"/>
    <w:rsid w:val="7C2D5C29"/>
    <w:rsid w:val="7C38637B"/>
    <w:rsid w:val="7C3D3207"/>
    <w:rsid w:val="7C4D40ED"/>
    <w:rsid w:val="7C5331B5"/>
    <w:rsid w:val="7C543611"/>
    <w:rsid w:val="7C5A11B1"/>
    <w:rsid w:val="7C6051E1"/>
    <w:rsid w:val="7C686C61"/>
    <w:rsid w:val="7C6B4A39"/>
    <w:rsid w:val="7C6B6751"/>
    <w:rsid w:val="7C6C5AC7"/>
    <w:rsid w:val="7C734F8A"/>
    <w:rsid w:val="7C952CBC"/>
    <w:rsid w:val="7C962567"/>
    <w:rsid w:val="7C9D46F4"/>
    <w:rsid w:val="7CB24380"/>
    <w:rsid w:val="7CB7529B"/>
    <w:rsid w:val="7CC6544B"/>
    <w:rsid w:val="7CCA7F56"/>
    <w:rsid w:val="7CD459A8"/>
    <w:rsid w:val="7CD71C7A"/>
    <w:rsid w:val="7CE04A49"/>
    <w:rsid w:val="7CE7227B"/>
    <w:rsid w:val="7CE808EB"/>
    <w:rsid w:val="7CEE2B0C"/>
    <w:rsid w:val="7CEF2EDE"/>
    <w:rsid w:val="7CF60376"/>
    <w:rsid w:val="7CF82511"/>
    <w:rsid w:val="7CF9080B"/>
    <w:rsid w:val="7CFE75C5"/>
    <w:rsid w:val="7D0239FF"/>
    <w:rsid w:val="7D06498E"/>
    <w:rsid w:val="7D0F17D2"/>
    <w:rsid w:val="7D14035D"/>
    <w:rsid w:val="7D146DD7"/>
    <w:rsid w:val="7D16032D"/>
    <w:rsid w:val="7D1E3D62"/>
    <w:rsid w:val="7D1E512D"/>
    <w:rsid w:val="7D1F2D8B"/>
    <w:rsid w:val="7D26180D"/>
    <w:rsid w:val="7D2668CC"/>
    <w:rsid w:val="7D2977E5"/>
    <w:rsid w:val="7D2B2488"/>
    <w:rsid w:val="7D2F13BD"/>
    <w:rsid w:val="7D3149F1"/>
    <w:rsid w:val="7D3704A9"/>
    <w:rsid w:val="7D3B1113"/>
    <w:rsid w:val="7D3E6C4C"/>
    <w:rsid w:val="7D40198C"/>
    <w:rsid w:val="7D4476CE"/>
    <w:rsid w:val="7D4509E9"/>
    <w:rsid w:val="7D4A0A5C"/>
    <w:rsid w:val="7D4A6037"/>
    <w:rsid w:val="7D5304F2"/>
    <w:rsid w:val="7D594473"/>
    <w:rsid w:val="7D5E40CD"/>
    <w:rsid w:val="7D6A22F9"/>
    <w:rsid w:val="7D6D33E9"/>
    <w:rsid w:val="7D747887"/>
    <w:rsid w:val="7D761BEF"/>
    <w:rsid w:val="7D76752F"/>
    <w:rsid w:val="7D833821"/>
    <w:rsid w:val="7D8601A6"/>
    <w:rsid w:val="7D8E6B9B"/>
    <w:rsid w:val="7D9F2B56"/>
    <w:rsid w:val="7DA22646"/>
    <w:rsid w:val="7DAC591A"/>
    <w:rsid w:val="7DBA7990"/>
    <w:rsid w:val="7DC74039"/>
    <w:rsid w:val="7DC9403A"/>
    <w:rsid w:val="7DCD56F2"/>
    <w:rsid w:val="7DCF00A4"/>
    <w:rsid w:val="7DF22173"/>
    <w:rsid w:val="7DF63F66"/>
    <w:rsid w:val="7DF6730A"/>
    <w:rsid w:val="7DF84738"/>
    <w:rsid w:val="7DFD2953"/>
    <w:rsid w:val="7DFF7CF0"/>
    <w:rsid w:val="7E09286B"/>
    <w:rsid w:val="7E093160"/>
    <w:rsid w:val="7E097FCF"/>
    <w:rsid w:val="7E0E3838"/>
    <w:rsid w:val="7E123328"/>
    <w:rsid w:val="7E196EF9"/>
    <w:rsid w:val="7E1F3C97"/>
    <w:rsid w:val="7E210588"/>
    <w:rsid w:val="7E3037AE"/>
    <w:rsid w:val="7E344D4A"/>
    <w:rsid w:val="7E404B5A"/>
    <w:rsid w:val="7E4159BB"/>
    <w:rsid w:val="7E4360C9"/>
    <w:rsid w:val="7E4454AB"/>
    <w:rsid w:val="7E4F6F2D"/>
    <w:rsid w:val="7E5316BF"/>
    <w:rsid w:val="7E7D2446"/>
    <w:rsid w:val="7E951AB4"/>
    <w:rsid w:val="7EA23005"/>
    <w:rsid w:val="7EA86F1B"/>
    <w:rsid w:val="7EB54B00"/>
    <w:rsid w:val="7EBB62A3"/>
    <w:rsid w:val="7EC32874"/>
    <w:rsid w:val="7EC50D5E"/>
    <w:rsid w:val="7EC9254A"/>
    <w:rsid w:val="7ECD1FD6"/>
    <w:rsid w:val="7ED405DD"/>
    <w:rsid w:val="7ED7383E"/>
    <w:rsid w:val="7ED93E46"/>
    <w:rsid w:val="7EEA2122"/>
    <w:rsid w:val="7EFE24FB"/>
    <w:rsid w:val="7EFF74BD"/>
    <w:rsid w:val="7F001CE7"/>
    <w:rsid w:val="7F075A07"/>
    <w:rsid w:val="7F265D93"/>
    <w:rsid w:val="7F284932"/>
    <w:rsid w:val="7F322032"/>
    <w:rsid w:val="7F325529"/>
    <w:rsid w:val="7F36260E"/>
    <w:rsid w:val="7F410CCC"/>
    <w:rsid w:val="7F441A8B"/>
    <w:rsid w:val="7F4A08A0"/>
    <w:rsid w:val="7F4C4618"/>
    <w:rsid w:val="7F5578B1"/>
    <w:rsid w:val="7F571715"/>
    <w:rsid w:val="7F5B485B"/>
    <w:rsid w:val="7F5D6825"/>
    <w:rsid w:val="7F6B48D1"/>
    <w:rsid w:val="7F735751"/>
    <w:rsid w:val="7F747196"/>
    <w:rsid w:val="7F775DA9"/>
    <w:rsid w:val="7F7A6C09"/>
    <w:rsid w:val="7F7B314F"/>
    <w:rsid w:val="7F7E59EA"/>
    <w:rsid w:val="7F8746ED"/>
    <w:rsid w:val="7F885589"/>
    <w:rsid w:val="7F902C16"/>
    <w:rsid w:val="7F910D00"/>
    <w:rsid w:val="7FA75CF2"/>
    <w:rsid w:val="7FA96067"/>
    <w:rsid w:val="7FAE6FBC"/>
    <w:rsid w:val="7FB234F9"/>
    <w:rsid w:val="7FB81CAD"/>
    <w:rsid w:val="7FC42E8D"/>
    <w:rsid w:val="7FC5261C"/>
    <w:rsid w:val="7FCF092E"/>
    <w:rsid w:val="7FCF263E"/>
    <w:rsid w:val="7FD35CBF"/>
    <w:rsid w:val="7FE47E50"/>
    <w:rsid w:val="7FEC6AD2"/>
    <w:rsid w:val="7FF902E4"/>
    <w:rsid w:val="7FFC03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nhideWhenUsed="0" w:uiPriority="99"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38"/>
    <w:qFormat/>
    <w:locked/>
    <w:uiPriority w:val="99"/>
    <w:pPr>
      <w:keepNext/>
      <w:overflowPunct w:val="0"/>
      <w:ind w:firstLine="0" w:firstLineChars="0"/>
      <w:jc w:val="center"/>
      <w:outlineLvl w:val="0"/>
    </w:pPr>
    <w:rPr>
      <w:b/>
      <w:bCs/>
      <w:color w:val="000000"/>
      <w:kern w:val="44"/>
      <w:sz w:val="32"/>
      <w:szCs w:val="30"/>
    </w:rPr>
  </w:style>
  <w:style w:type="paragraph" w:styleId="3">
    <w:name w:val="heading 2"/>
    <w:basedOn w:val="1"/>
    <w:next w:val="1"/>
    <w:link w:val="40"/>
    <w:qFormat/>
    <w:locked/>
    <w:uiPriority w:val="0"/>
    <w:pPr>
      <w:keepNext/>
      <w:keepLines/>
      <w:ind w:firstLine="0" w:firstLineChars="0"/>
      <w:jc w:val="left"/>
      <w:outlineLvl w:val="1"/>
    </w:pPr>
    <w:rPr>
      <w:b/>
      <w:bCs/>
      <w:sz w:val="30"/>
      <w:szCs w:val="32"/>
    </w:rPr>
  </w:style>
  <w:style w:type="paragraph" w:styleId="4">
    <w:name w:val="heading 3"/>
    <w:basedOn w:val="1"/>
    <w:next w:val="1"/>
    <w:link w:val="39"/>
    <w:qFormat/>
    <w:locked/>
    <w:uiPriority w:val="0"/>
    <w:pPr>
      <w:keepNext/>
      <w:keepLines/>
      <w:ind w:firstLine="0" w:firstLineChars="0"/>
      <w:jc w:val="left"/>
      <w:outlineLvl w:val="2"/>
    </w:pPr>
    <w:rPr>
      <w:b/>
      <w:bCs/>
      <w:sz w:val="28"/>
      <w:szCs w:val="32"/>
    </w:rPr>
  </w:style>
  <w:style w:type="paragraph" w:styleId="5">
    <w:name w:val="heading 4"/>
    <w:basedOn w:val="1"/>
    <w:next w:val="1"/>
    <w:link w:val="41"/>
    <w:qFormat/>
    <w:locked/>
    <w:uiPriority w:val="0"/>
    <w:pPr>
      <w:keepNext/>
      <w:keepLines/>
      <w:ind w:firstLine="0" w:firstLineChars="0"/>
      <w:jc w:val="left"/>
      <w:outlineLvl w:val="3"/>
    </w:pPr>
    <w:rPr>
      <w:b/>
      <w:bCs/>
      <w:szCs w:val="28"/>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6">
    <w:name w:val="Note Heading"/>
    <w:basedOn w:val="1"/>
    <w:next w:val="1"/>
    <w:qFormat/>
    <w:locked/>
    <w:uiPriority w:val="0"/>
    <w:pPr>
      <w:jc w:val="left"/>
    </w:pPr>
    <w:rPr>
      <w:rFonts w:ascii="宋体" w:hAnsi="宋体"/>
    </w:rPr>
  </w:style>
  <w:style w:type="paragraph" w:styleId="7">
    <w:name w:val="Normal Indent"/>
    <w:basedOn w:val="1"/>
    <w:next w:val="1"/>
    <w:link w:val="42"/>
    <w:unhideWhenUsed/>
    <w:qFormat/>
    <w:locked/>
    <w:uiPriority w:val="0"/>
    <w:pPr>
      <w:ind w:firstLine="420"/>
    </w:pPr>
    <w:rPr>
      <w:kern w:val="0"/>
      <w:szCs w:val="22"/>
    </w:rPr>
  </w:style>
  <w:style w:type="paragraph" w:styleId="8">
    <w:name w:val="caption"/>
    <w:basedOn w:val="1"/>
    <w:next w:val="1"/>
    <w:link w:val="43"/>
    <w:qFormat/>
    <w:locked/>
    <w:uiPriority w:val="99"/>
    <w:pPr>
      <w:widowControl/>
      <w:jc w:val="center"/>
    </w:pPr>
    <w:rPr>
      <w:b/>
      <w:kern w:val="0"/>
    </w:rPr>
  </w:style>
  <w:style w:type="paragraph" w:styleId="9">
    <w:name w:val="Document Map"/>
    <w:basedOn w:val="1"/>
    <w:semiHidden/>
    <w:qFormat/>
    <w:locked/>
    <w:uiPriority w:val="0"/>
    <w:pPr>
      <w:shd w:val="clear" w:color="auto" w:fill="000080"/>
    </w:pPr>
  </w:style>
  <w:style w:type="paragraph" w:styleId="10">
    <w:name w:val="annotation text"/>
    <w:basedOn w:val="1"/>
    <w:link w:val="44"/>
    <w:qFormat/>
    <w:uiPriority w:val="99"/>
    <w:pPr>
      <w:jc w:val="left"/>
    </w:pPr>
    <w:rPr>
      <w:kern w:val="0"/>
      <w:szCs w:val="20"/>
    </w:rPr>
  </w:style>
  <w:style w:type="paragraph" w:styleId="11">
    <w:name w:val="Salutation"/>
    <w:next w:val="1"/>
    <w:qFormat/>
    <w:locked/>
    <w:uiPriority w:val="0"/>
    <w:pPr>
      <w:widowControl w:val="0"/>
      <w:jc w:val="both"/>
    </w:pPr>
    <w:rPr>
      <w:rFonts w:ascii="Calibri" w:hAnsi="Calibri" w:eastAsia="宋体" w:cs="Times New Roman"/>
      <w:kern w:val="2"/>
      <w:sz w:val="21"/>
      <w:szCs w:val="24"/>
      <w:lang w:val="en-US" w:eastAsia="zh-CN" w:bidi="ar-SA"/>
    </w:rPr>
  </w:style>
  <w:style w:type="paragraph" w:styleId="12">
    <w:name w:val="Body Text"/>
    <w:basedOn w:val="1"/>
    <w:next w:val="11"/>
    <w:link w:val="45"/>
    <w:qFormat/>
    <w:uiPriority w:val="0"/>
    <w:pPr>
      <w:widowControl/>
      <w:snapToGrid w:val="0"/>
      <w:spacing w:before="60" w:after="160" w:line="259" w:lineRule="auto"/>
      <w:ind w:right="113"/>
    </w:pPr>
    <w:rPr>
      <w:kern w:val="0"/>
      <w:sz w:val="18"/>
      <w:szCs w:val="20"/>
    </w:rPr>
  </w:style>
  <w:style w:type="paragraph" w:styleId="13">
    <w:name w:val="Body Text Indent"/>
    <w:basedOn w:val="1"/>
    <w:next w:val="1"/>
    <w:link w:val="46"/>
    <w:qFormat/>
    <w:uiPriority w:val="0"/>
    <w:pPr>
      <w:spacing w:after="120"/>
      <w:ind w:left="420" w:leftChars="200"/>
    </w:pPr>
    <w:rPr>
      <w:kern w:val="0"/>
      <w:szCs w:val="20"/>
    </w:rPr>
  </w:style>
  <w:style w:type="paragraph" w:styleId="14">
    <w:name w:val="index 4"/>
    <w:basedOn w:val="1"/>
    <w:next w:val="1"/>
    <w:qFormat/>
    <w:locked/>
    <w:uiPriority w:val="0"/>
    <w:pPr>
      <w:ind w:left="600" w:leftChars="600"/>
    </w:pPr>
    <w:rPr>
      <w:sz w:val="21"/>
    </w:rPr>
  </w:style>
  <w:style w:type="paragraph" w:styleId="15">
    <w:name w:val="Plain Text"/>
    <w:basedOn w:val="1"/>
    <w:qFormat/>
    <w:locked/>
    <w:uiPriority w:val="0"/>
    <w:pPr>
      <w:adjustRightInd w:val="0"/>
      <w:textAlignment w:val="baseline"/>
    </w:pPr>
    <w:rPr>
      <w:rFonts w:ascii="宋体" w:hAnsi="Courier New"/>
      <w:kern w:val="0"/>
    </w:rPr>
  </w:style>
  <w:style w:type="paragraph" w:styleId="16">
    <w:name w:val="Date"/>
    <w:basedOn w:val="1"/>
    <w:next w:val="1"/>
    <w:link w:val="47"/>
    <w:qFormat/>
    <w:uiPriority w:val="0"/>
    <w:pPr>
      <w:ind w:left="100" w:leftChars="2500"/>
    </w:pPr>
    <w:rPr>
      <w:kern w:val="0"/>
      <w:szCs w:val="20"/>
    </w:rPr>
  </w:style>
  <w:style w:type="paragraph" w:styleId="17">
    <w:name w:val="Body Text Indent 2"/>
    <w:basedOn w:val="1"/>
    <w:qFormat/>
    <w:locked/>
    <w:uiPriority w:val="0"/>
    <w:pPr>
      <w:spacing w:line="360" w:lineRule="exact"/>
      <w:ind w:firstLine="465"/>
    </w:pPr>
  </w:style>
  <w:style w:type="paragraph" w:styleId="18">
    <w:name w:val="Balloon Text"/>
    <w:basedOn w:val="1"/>
    <w:link w:val="48"/>
    <w:semiHidden/>
    <w:qFormat/>
    <w:uiPriority w:val="0"/>
    <w:rPr>
      <w:kern w:val="0"/>
      <w:sz w:val="18"/>
      <w:szCs w:val="20"/>
    </w:rPr>
  </w:style>
  <w:style w:type="paragraph" w:styleId="19">
    <w:name w:val="footer"/>
    <w:basedOn w:val="1"/>
    <w:link w:val="49"/>
    <w:qFormat/>
    <w:uiPriority w:val="0"/>
    <w:pPr>
      <w:tabs>
        <w:tab w:val="center" w:pos="4153"/>
        <w:tab w:val="right" w:pos="8306"/>
      </w:tabs>
      <w:snapToGrid w:val="0"/>
      <w:jc w:val="left"/>
    </w:pPr>
    <w:rPr>
      <w:kern w:val="0"/>
      <w:sz w:val="18"/>
      <w:szCs w:val="20"/>
    </w:rPr>
  </w:style>
  <w:style w:type="paragraph" w:styleId="20">
    <w:name w:val="header"/>
    <w:basedOn w:val="1"/>
    <w:link w:val="50"/>
    <w:qFormat/>
    <w:uiPriority w:val="0"/>
    <w:pPr>
      <w:pBdr>
        <w:bottom w:val="single" w:color="auto" w:sz="6" w:space="1"/>
      </w:pBdr>
      <w:tabs>
        <w:tab w:val="center" w:pos="4153"/>
        <w:tab w:val="right" w:pos="8306"/>
      </w:tabs>
      <w:snapToGrid w:val="0"/>
      <w:jc w:val="center"/>
    </w:pPr>
    <w:rPr>
      <w:kern w:val="0"/>
      <w:sz w:val="18"/>
      <w:szCs w:val="20"/>
    </w:rPr>
  </w:style>
  <w:style w:type="paragraph" w:styleId="21">
    <w:name w:val="toc 1"/>
    <w:basedOn w:val="1"/>
    <w:next w:val="1"/>
    <w:qFormat/>
    <w:locked/>
    <w:uiPriority w:val="0"/>
  </w:style>
  <w:style w:type="paragraph" w:styleId="22">
    <w:name w:val="List"/>
    <w:basedOn w:val="1"/>
    <w:qFormat/>
    <w:locked/>
    <w:uiPriority w:val="0"/>
    <w:pPr>
      <w:spacing w:line="360" w:lineRule="exact"/>
      <w:ind w:firstLine="200"/>
      <w:jc w:val="center"/>
    </w:pPr>
    <w:rPr>
      <w:rFonts w:ascii="仿宋_GB2312" w:eastAsia="仿宋_GB2312"/>
      <w:sz w:val="28"/>
      <w:szCs w:val="20"/>
    </w:rPr>
  </w:style>
  <w:style w:type="paragraph" w:styleId="23">
    <w:name w:val="Body Text Indent 3"/>
    <w:basedOn w:val="1"/>
    <w:qFormat/>
    <w:locked/>
    <w:uiPriority w:val="0"/>
    <w:pPr>
      <w:ind w:firstLine="480"/>
    </w:pPr>
  </w:style>
  <w:style w:type="paragraph" w:styleId="24">
    <w:name w:val="toc 2"/>
    <w:basedOn w:val="1"/>
    <w:next w:val="1"/>
    <w:qFormat/>
    <w:locked/>
    <w:uiPriority w:val="0"/>
    <w:pPr>
      <w:ind w:left="240"/>
      <w:jc w:val="left"/>
    </w:pPr>
    <w:rPr>
      <w:rFonts w:ascii="Calibri" w:hAnsi="Calibri"/>
      <w:smallCaps/>
      <w:sz w:val="20"/>
      <w:szCs w:val="20"/>
    </w:rPr>
  </w:style>
  <w:style w:type="paragraph" w:styleId="25">
    <w:name w:val="Normal (Web)"/>
    <w:basedOn w:val="1"/>
    <w:link w:val="51"/>
    <w:qFormat/>
    <w:uiPriority w:val="0"/>
    <w:pPr>
      <w:widowControl/>
      <w:spacing w:before="100" w:beforeAutospacing="1" w:after="100" w:afterAutospacing="1"/>
      <w:jc w:val="left"/>
    </w:pPr>
    <w:rPr>
      <w:rFonts w:ascii="宋体" w:hAnsi="宋体"/>
      <w:kern w:val="0"/>
      <w:szCs w:val="20"/>
    </w:rPr>
  </w:style>
  <w:style w:type="paragraph" w:styleId="26">
    <w:name w:val="Title"/>
    <w:basedOn w:val="1"/>
    <w:next w:val="1"/>
    <w:link w:val="52"/>
    <w:qFormat/>
    <w:locked/>
    <w:uiPriority w:val="0"/>
    <w:pPr>
      <w:spacing w:before="240" w:after="60"/>
      <w:jc w:val="center"/>
      <w:outlineLvl w:val="0"/>
    </w:pPr>
    <w:rPr>
      <w:rFonts w:ascii="Cambria" w:hAnsi="Cambria"/>
      <w:b/>
      <w:bCs/>
      <w:sz w:val="32"/>
      <w:szCs w:val="32"/>
    </w:rPr>
  </w:style>
  <w:style w:type="paragraph" w:styleId="27">
    <w:name w:val="annotation subject"/>
    <w:basedOn w:val="10"/>
    <w:next w:val="10"/>
    <w:link w:val="53"/>
    <w:semiHidden/>
    <w:qFormat/>
    <w:uiPriority w:val="0"/>
    <w:rPr>
      <w:b/>
    </w:rPr>
  </w:style>
  <w:style w:type="paragraph" w:styleId="28">
    <w:name w:val="Body Text First Indent"/>
    <w:basedOn w:val="12"/>
    <w:next w:val="1"/>
    <w:qFormat/>
    <w:locked/>
    <w:uiPriority w:val="0"/>
    <w:pPr>
      <w:widowControl w:val="0"/>
      <w:spacing w:line="240" w:lineRule="exact"/>
      <w:ind w:firstLine="420" w:firstLineChars="100"/>
      <w:jc w:val="center"/>
    </w:pPr>
    <w:rPr>
      <w:kern w:val="2"/>
      <w:sz w:val="28"/>
    </w:rPr>
  </w:style>
  <w:style w:type="paragraph" w:styleId="29">
    <w:name w:val="Body Text First Indent 2"/>
    <w:basedOn w:val="13"/>
    <w:next w:val="28"/>
    <w:qFormat/>
    <w:locked/>
    <w:uiPriority w:val="0"/>
    <w:pPr>
      <w:ind w:firstLine="420"/>
    </w:pPr>
  </w:style>
  <w:style w:type="table" w:styleId="31">
    <w:name w:val="Table Grid"/>
    <w:basedOn w:val="3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3">
    <w:name w:val="Strong"/>
    <w:qFormat/>
    <w:locked/>
    <w:uiPriority w:val="0"/>
    <w:rPr>
      <w:b/>
    </w:rPr>
  </w:style>
  <w:style w:type="character" w:styleId="34">
    <w:name w:val="page number"/>
    <w:qFormat/>
    <w:locked/>
    <w:uiPriority w:val="0"/>
  </w:style>
  <w:style w:type="character" w:styleId="35">
    <w:name w:val="Emphasis"/>
    <w:qFormat/>
    <w:locked/>
    <w:uiPriority w:val="0"/>
    <w:rPr>
      <w:i/>
    </w:rPr>
  </w:style>
  <w:style w:type="character" w:styleId="36">
    <w:name w:val="Hyperlink"/>
    <w:qFormat/>
    <w:locked/>
    <w:uiPriority w:val="0"/>
    <w:rPr>
      <w:color w:val="0000FF"/>
      <w:u w:val="single"/>
    </w:rPr>
  </w:style>
  <w:style w:type="character" w:styleId="37">
    <w:name w:val="annotation reference"/>
    <w:qFormat/>
    <w:uiPriority w:val="99"/>
    <w:rPr>
      <w:sz w:val="21"/>
    </w:rPr>
  </w:style>
  <w:style w:type="character" w:customStyle="1" w:styleId="38">
    <w:name w:val="标题 1 Char"/>
    <w:link w:val="2"/>
    <w:qFormat/>
    <w:uiPriority w:val="99"/>
    <w:rPr>
      <w:rFonts w:ascii="Times New Roman" w:hAnsi="Times New Roman" w:eastAsia="宋体"/>
      <w:b/>
      <w:bCs/>
      <w:color w:val="000000"/>
      <w:kern w:val="44"/>
      <w:sz w:val="32"/>
      <w:szCs w:val="30"/>
    </w:rPr>
  </w:style>
  <w:style w:type="character" w:customStyle="1" w:styleId="39">
    <w:name w:val="标题 3 Char"/>
    <w:link w:val="4"/>
    <w:semiHidden/>
    <w:qFormat/>
    <w:uiPriority w:val="0"/>
    <w:rPr>
      <w:rFonts w:eastAsia="宋体"/>
      <w:b/>
      <w:bCs/>
      <w:kern w:val="2"/>
      <w:sz w:val="28"/>
      <w:szCs w:val="32"/>
    </w:rPr>
  </w:style>
  <w:style w:type="character" w:customStyle="1" w:styleId="40">
    <w:name w:val="标题 2 Char"/>
    <w:link w:val="3"/>
    <w:qFormat/>
    <w:uiPriority w:val="9"/>
    <w:rPr>
      <w:rFonts w:ascii="Times New Roman" w:hAnsi="Times New Roman" w:eastAsia="宋体" w:cs="Times New Roman"/>
      <w:b/>
      <w:bCs/>
      <w:kern w:val="2"/>
      <w:sz w:val="30"/>
      <w:szCs w:val="32"/>
    </w:rPr>
  </w:style>
  <w:style w:type="character" w:customStyle="1" w:styleId="41">
    <w:name w:val="标题 4 Char"/>
    <w:link w:val="5"/>
    <w:semiHidden/>
    <w:qFormat/>
    <w:uiPriority w:val="0"/>
    <w:rPr>
      <w:rFonts w:ascii="Times New Roman" w:hAnsi="Times New Roman" w:eastAsia="宋体" w:cs="Times New Roman"/>
      <w:b/>
      <w:bCs/>
      <w:kern w:val="2"/>
      <w:sz w:val="24"/>
      <w:szCs w:val="28"/>
    </w:rPr>
  </w:style>
  <w:style w:type="character" w:customStyle="1" w:styleId="42">
    <w:name w:val="正文缩进 Char"/>
    <w:link w:val="7"/>
    <w:qFormat/>
    <w:uiPriority w:val="0"/>
    <w:rPr>
      <w:sz w:val="24"/>
      <w:szCs w:val="22"/>
    </w:rPr>
  </w:style>
  <w:style w:type="character" w:customStyle="1" w:styleId="43">
    <w:name w:val="题注 Char"/>
    <w:link w:val="8"/>
    <w:qFormat/>
    <w:uiPriority w:val="99"/>
    <w:rPr>
      <w:b/>
      <w:kern w:val="0"/>
      <w:sz w:val="24"/>
    </w:rPr>
  </w:style>
  <w:style w:type="character" w:customStyle="1" w:styleId="44">
    <w:name w:val="批注文字 Char"/>
    <w:link w:val="10"/>
    <w:qFormat/>
    <w:locked/>
    <w:uiPriority w:val="99"/>
    <w:rPr>
      <w:rFonts w:ascii="Times New Roman" w:hAnsi="Times New Roman" w:eastAsia="宋体"/>
      <w:sz w:val="24"/>
    </w:rPr>
  </w:style>
  <w:style w:type="character" w:customStyle="1" w:styleId="45">
    <w:name w:val="正文文本 Char"/>
    <w:link w:val="12"/>
    <w:qFormat/>
    <w:locked/>
    <w:uiPriority w:val="0"/>
    <w:rPr>
      <w:sz w:val="18"/>
    </w:rPr>
  </w:style>
  <w:style w:type="character" w:customStyle="1" w:styleId="46">
    <w:name w:val="正文文本缩进 Char"/>
    <w:link w:val="13"/>
    <w:semiHidden/>
    <w:qFormat/>
    <w:locked/>
    <w:uiPriority w:val="0"/>
    <w:rPr>
      <w:rFonts w:ascii="Times New Roman" w:hAnsi="Times New Roman" w:eastAsia="宋体"/>
      <w:sz w:val="24"/>
    </w:rPr>
  </w:style>
  <w:style w:type="character" w:customStyle="1" w:styleId="47">
    <w:name w:val="日期 Char"/>
    <w:link w:val="16"/>
    <w:qFormat/>
    <w:locked/>
    <w:uiPriority w:val="0"/>
    <w:rPr>
      <w:rFonts w:ascii="Times New Roman" w:hAnsi="Times New Roman" w:eastAsia="宋体"/>
      <w:sz w:val="24"/>
    </w:rPr>
  </w:style>
  <w:style w:type="character" w:customStyle="1" w:styleId="48">
    <w:name w:val="批注框文本 Char"/>
    <w:link w:val="18"/>
    <w:semiHidden/>
    <w:qFormat/>
    <w:locked/>
    <w:uiPriority w:val="0"/>
    <w:rPr>
      <w:rFonts w:ascii="Times New Roman" w:hAnsi="Times New Roman" w:eastAsia="宋体"/>
      <w:sz w:val="18"/>
    </w:rPr>
  </w:style>
  <w:style w:type="character" w:customStyle="1" w:styleId="49">
    <w:name w:val="页脚 Char"/>
    <w:link w:val="19"/>
    <w:qFormat/>
    <w:locked/>
    <w:uiPriority w:val="0"/>
    <w:rPr>
      <w:sz w:val="18"/>
    </w:rPr>
  </w:style>
  <w:style w:type="character" w:customStyle="1" w:styleId="50">
    <w:name w:val="页眉 Char"/>
    <w:link w:val="20"/>
    <w:qFormat/>
    <w:locked/>
    <w:uiPriority w:val="0"/>
    <w:rPr>
      <w:sz w:val="18"/>
    </w:rPr>
  </w:style>
  <w:style w:type="character" w:customStyle="1" w:styleId="51">
    <w:name w:val="普通(网站) Char"/>
    <w:link w:val="25"/>
    <w:qFormat/>
    <w:locked/>
    <w:uiPriority w:val="0"/>
    <w:rPr>
      <w:rFonts w:ascii="宋体" w:hAnsi="宋体" w:eastAsia="宋体"/>
      <w:sz w:val="24"/>
    </w:rPr>
  </w:style>
  <w:style w:type="character" w:customStyle="1" w:styleId="52">
    <w:name w:val="标题 Char"/>
    <w:link w:val="26"/>
    <w:qFormat/>
    <w:uiPriority w:val="0"/>
    <w:rPr>
      <w:rFonts w:ascii="Cambria" w:hAnsi="Cambria" w:cs="Times New Roman"/>
      <w:b/>
      <w:bCs/>
      <w:kern w:val="2"/>
      <w:sz w:val="32"/>
      <w:szCs w:val="32"/>
    </w:rPr>
  </w:style>
  <w:style w:type="character" w:customStyle="1" w:styleId="53">
    <w:name w:val="批注主题 Char"/>
    <w:link w:val="27"/>
    <w:semiHidden/>
    <w:qFormat/>
    <w:locked/>
    <w:uiPriority w:val="0"/>
    <w:rPr>
      <w:rFonts w:ascii="Times New Roman" w:hAnsi="Times New Roman" w:eastAsia="宋体"/>
      <w:b/>
      <w:kern w:val="2"/>
      <w:sz w:val="24"/>
    </w:rPr>
  </w:style>
  <w:style w:type="paragraph" w:customStyle="1" w:styleId="54">
    <w:name w:val="正文(首行缩进)"/>
    <w:basedOn w:val="1"/>
    <w:qFormat/>
    <w:uiPriority w:val="0"/>
    <w:pPr>
      <w:adjustRightInd w:val="0"/>
      <w:snapToGrid w:val="0"/>
      <w:ind w:firstLine="200"/>
    </w:pPr>
    <w:rPr>
      <w:snapToGrid w:val="0"/>
      <w:szCs w:val="25"/>
    </w:rPr>
  </w:style>
  <w:style w:type="paragraph" w:customStyle="1" w:styleId="55">
    <w:name w:val="Default"/>
    <w:qFormat/>
    <w:uiPriority w:val="0"/>
    <w:pPr>
      <w:widowControl w:val="0"/>
      <w:autoSpaceDE w:val="0"/>
      <w:autoSpaceDN w:val="0"/>
      <w:adjustRightInd w:val="0"/>
    </w:pPr>
    <w:rPr>
      <w:rFonts w:ascii="宋体u.砸.葷." w:hAnsi="Times New Roman" w:eastAsia="宋体u.砸.葷." w:cs="宋体u.砸.葷."/>
      <w:color w:val="000000"/>
      <w:sz w:val="24"/>
      <w:szCs w:val="24"/>
      <w:lang w:val="en-US" w:eastAsia="zh-CN" w:bidi="ar-SA"/>
    </w:rPr>
  </w:style>
  <w:style w:type="character" w:customStyle="1" w:styleId="56">
    <w:name w:val="font21"/>
    <w:qFormat/>
    <w:uiPriority w:val="0"/>
    <w:rPr>
      <w:rFonts w:hint="default" w:ascii="Times New Roman" w:hAnsi="Times New Roman" w:cs="Times New Roman"/>
      <w:color w:val="000000"/>
      <w:sz w:val="21"/>
      <w:szCs w:val="21"/>
      <w:u w:val="none"/>
    </w:rPr>
  </w:style>
  <w:style w:type="character" w:customStyle="1" w:styleId="57">
    <w:name w:val="表格 Char"/>
    <w:link w:val="58"/>
    <w:qFormat/>
    <w:locked/>
    <w:uiPriority w:val="0"/>
    <w:rPr>
      <w:rFonts w:ascii="宋体"/>
      <w:sz w:val="21"/>
    </w:rPr>
  </w:style>
  <w:style w:type="paragraph" w:customStyle="1" w:styleId="58">
    <w:name w:val="表格"/>
    <w:basedOn w:val="59"/>
    <w:link w:val="57"/>
    <w:qFormat/>
    <w:uiPriority w:val="0"/>
    <w:pPr>
      <w:adjustRightInd w:val="0"/>
      <w:snapToGrid w:val="0"/>
      <w:spacing w:beforeLines="10" w:afterLines="10" w:line="259" w:lineRule="auto"/>
      <w:jc w:val="center"/>
    </w:pPr>
    <w:rPr>
      <w:rFonts w:ascii="宋体"/>
      <w:kern w:val="0"/>
      <w:szCs w:val="20"/>
    </w:rPr>
  </w:style>
  <w:style w:type="paragraph" w:customStyle="1" w:styleId="59">
    <w:name w:val="正文3"/>
    <w:basedOn w:val="1"/>
    <w:qFormat/>
    <w:uiPriority w:val="0"/>
    <w:pPr>
      <w:ind w:firstLine="361"/>
    </w:pPr>
  </w:style>
  <w:style w:type="character" w:customStyle="1" w:styleId="60">
    <w:name w:val="表格标题 Char1"/>
    <w:link w:val="61"/>
    <w:qFormat/>
    <w:uiPriority w:val="0"/>
    <w:rPr>
      <w:b/>
      <w:sz w:val="24"/>
      <w:szCs w:val="24"/>
    </w:rPr>
  </w:style>
  <w:style w:type="paragraph" w:customStyle="1" w:styleId="61">
    <w:name w:val="表格标题"/>
    <w:basedOn w:val="1"/>
    <w:link w:val="60"/>
    <w:qFormat/>
    <w:uiPriority w:val="0"/>
    <w:pPr>
      <w:ind w:left="420" w:hanging="420"/>
      <w:jc w:val="center"/>
      <w:outlineLvl w:val="4"/>
    </w:pPr>
    <w:rPr>
      <w:b/>
      <w:kern w:val="0"/>
    </w:rPr>
  </w:style>
  <w:style w:type="character" w:customStyle="1" w:styleId="62">
    <w:name w:val="zhang正文 Char1"/>
    <w:link w:val="63"/>
    <w:qFormat/>
    <w:uiPriority w:val="0"/>
    <w:rPr>
      <w:rFonts w:eastAsia="楷体_GB2312"/>
      <w:sz w:val="28"/>
    </w:rPr>
  </w:style>
  <w:style w:type="paragraph" w:customStyle="1" w:styleId="63">
    <w:name w:val="zhang正文"/>
    <w:basedOn w:val="13"/>
    <w:next w:val="1"/>
    <w:link w:val="62"/>
    <w:qFormat/>
    <w:uiPriority w:val="0"/>
    <w:pPr>
      <w:autoSpaceDE w:val="0"/>
      <w:autoSpaceDN w:val="0"/>
      <w:adjustRightInd w:val="0"/>
      <w:snapToGrid w:val="0"/>
      <w:spacing w:after="0" w:line="500" w:lineRule="exact"/>
      <w:ind w:left="0" w:leftChars="0" w:firstLine="539"/>
      <w:textAlignment w:val="baseline"/>
    </w:pPr>
    <w:rPr>
      <w:rFonts w:eastAsia="楷体_GB2312"/>
      <w:sz w:val="28"/>
    </w:rPr>
  </w:style>
  <w:style w:type="character" w:customStyle="1" w:styleId="64">
    <w:name w:val="font01"/>
    <w:qFormat/>
    <w:uiPriority w:val="0"/>
    <w:rPr>
      <w:rFonts w:ascii="Arial" w:hAnsi="Arial" w:cs="Arial"/>
      <w:color w:val="000000"/>
      <w:sz w:val="20"/>
      <w:szCs w:val="20"/>
      <w:u w:val="none"/>
    </w:rPr>
  </w:style>
  <w:style w:type="character" w:customStyle="1" w:styleId="65">
    <w:name w:val="font41"/>
    <w:qFormat/>
    <w:uiPriority w:val="0"/>
    <w:rPr>
      <w:rFonts w:hint="default" w:ascii="Times New Roman" w:hAnsi="Times New Roman" w:cs="Times New Roman"/>
      <w:color w:val="000000"/>
      <w:sz w:val="24"/>
      <w:szCs w:val="24"/>
      <w:u w:val="none"/>
      <w:vertAlign w:val="superscript"/>
    </w:rPr>
  </w:style>
  <w:style w:type="character" w:customStyle="1" w:styleId="66">
    <w:name w:val="日期 字符"/>
    <w:semiHidden/>
    <w:qFormat/>
    <w:uiPriority w:val="0"/>
    <w:rPr>
      <w:rFonts w:ascii="Times New Roman" w:hAnsi="Times New Roman" w:eastAsia="宋体"/>
      <w:sz w:val="24"/>
    </w:rPr>
  </w:style>
  <w:style w:type="character" w:customStyle="1" w:styleId="67">
    <w:name w:val="表格标题 Char"/>
    <w:qFormat/>
    <w:uiPriority w:val="0"/>
    <w:rPr>
      <w:b/>
      <w:color w:val="222222"/>
      <w:sz w:val="24"/>
    </w:rPr>
  </w:style>
  <w:style w:type="character" w:customStyle="1" w:styleId="68">
    <w:name w:val="表格内容 Char1"/>
    <w:qFormat/>
    <w:uiPriority w:val="0"/>
    <w:rPr>
      <w:rFonts w:ascii="宋体" w:hAnsi="宋体" w:eastAsia="宋体"/>
      <w:kern w:val="0"/>
      <w:sz w:val="21"/>
    </w:rPr>
  </w:style>
  <w:style w:type="character" w:customStyle="1" w:styleId="69">
    <w:name w:val="font31"/>
    <w:qFormat/>
    <w:uiPriority w:val="0"/>
    <w:rPr>
      <w:rFonts w:hint="default" w:ascii="Times New Roman" w:hAnsi="Times New Roman" w:cs="Times New Roman"/>
      <w:color w:val="000000"/>
      <w:sz w:val="24"/>
      <w:szCs w:val="24"/>
      <w:u w:val="none"/>
    </w:rPr>
  </w:style>
  <w:style w:type="character" w:customStyle="1" w:styleId="70">
    <w:name w:val="正文文本 字符1"/>
    <w:semiHidden/>
    <w:qFormat/>
    <w:uiPriority w:val="0"/>
    <w:rPr>
      <w:rFonts w:ascii="Times New Roman" w:hAnsi="Times New Roman" w:eastAsia="宋体"/>
      <w:sz w:val="24"/>
    </w:rPr>
  </w:style>
  <w:style w:type="character" w:customStyle="1" w:styleId="71">
    <w:name w:val="font11"/>
    <w:qFormat/>
    <w:uiPriority w:val="0"/>
    <w:rPr>
      <w:rFonts w:hint="eastAsia" w:ascii="宋体" w:hAnsi="宋体" w:eastAsia="宋体" w:cs="宋体"/>
      <w:color w:val="000000"/>
      <w:sz w:val="21"/>
      <w:szCs w:val="21"/>
      <w:u w:val="none"/>
    </w:rPr>
  </w:style>
  <w:style w:type="character" w:customStyle="1" w:styleId="72">
    <w:name w:val="图文标题 Char"/>
    <w:link w:val="73"/>
    <w:qFormat/>
    <w:uiPriority w:val="0"/>
    <w:rPr>
      <w:rFonts w:ascii="Arial" w:hAnsi="Arial"/>
      <w:b/>
      <w:kern w:val="2"/>
      <w:sz w:val="24"/>
      <w:szCs w:val="22"/>
    </w:rPr>
  </w:style>
  <w:style w:type="paragraph" w:customStyle="1" w:styleId="73">
    <w:name w:val="图文标题"/>
    <w:basedOn w:val="1"/>
    <w:next w:val="1"/>
    <w:link w:val="72"/>
    <w:qFormat/>
    <w:uiPriority w:val="0"/>
    <w:pPr>
      <w:jc w:val="center"/>
    </w:pPr>
    <w:rPr>
      <w:rFonts w:ascii="Arial" w:hAnsi="Arial"/>
      <w:b/>
      <w:szCs w:val="22"/>
    </w:rPr>
  </w:style>
  <w:style w:type="character" w:customStyle="1" w:styleId="74">
    <w:name w:val="表格内容 Char"/>
    <w:link w:val="75"/>
    <w:qFormat/>
    <w:uiPriority w:val="0"/>
    <w:rPr>
      <w:kern w:val="2"/>
      <w:sz w:val="21"/>
      <w:szCs w:val="22"/>
    </w:rPr>
  </w:style>
  <w:style w:type="paragraph" w:customStyle="1" w:styleId="75">
    <w:name w:val="表格内容"/>
    <w:basedOn w:val="22"/>
    <w:next w:val="1"/>
    <w:link w:val="74"/>
    <w:qFormat/>
    <w:uiPriority w:val="0"/>
    <w:rPr>
      <w:szCs w:val="22"/>
    </w:rPr>
  </w:style>
  <w:style w:type="character" w:customStyle="1" w:styleId="76">
    <w:name w:val="页脚 字符"/>
    <w:qFormat/>
    <w:uiPriority w:val="99"/>
  </w:style>
  <w:style w:type="character" w:customStyle="1" w:styleId="77">
    <w:name w:val="1表格 Char"/>
    <w:link w:val="78"/>
    <w:qFormat/>
    <w:uiPriority w:val="0"/>
    <w:rPr>
      <w:rFonts w:eastAsia="仿宋_GB2312"/>
      <w:kern w:val="2"/>
      <w:sz w:val="21"/>
      <w:szCs w:val="21"/>
    </w:rPr>
  </w:style>
  <w:style w:type="paragraph" w:customStyle="1" w:styleId="78">
    <w:name w:val="1表格"/>
    <w:basedOn w:val="1"/>
    <w:link w:val="77"/>
    <w:qFormat/>
    <w:uiPriority w:val="0"/>
    <w:pPr>
      <w:snapToGrid w:val="0"/>
      <w:jc w:val="center"/>
      <w:outlineLvl w:val="4"/>
    </w:pPr>
    <w:rPr>
      <w:rFonts w:eastAsia="仿宋_GB2312"/>
      <w:szCs w:val="21"/>
    </w:rPr>
  </w:style>
  <w:style w:type="character" w:customStyle="1" w:styleId="79">
    <w:name w:val="批注文字 字符1"/>
    <w:semiHidden/>
    <w:qFormat/>
    <w:uiPriority w:val="0"/>
    <w:rPr>
      <w:rFonts w:ascii="Times New Roman" w:hAnsi="Times New Roman" w:eastAsia="宋体"/>
      <w:sz w:val="24"/>
    </w:rPr>
  </w:style>
  <w:style w:type="character" w:customStyle="1" w:styleId="80">
    <w:name w:val="表格 Char Char"/>
    <w:qFormat/>
    <w:uiPriority w:val="0"/>
    <w:rPr>
      <w:rFonts w:eastAsia="宋体"/>
      <w:kern w:val="2"/>
      <w:sz w:val="21"/>
      <w:szCs w:val="24"/>
      <w:lang w:val="en-US" w:eastAsia="zh-CN" w:bidi="ar-SA"/>
    </w:rPr>
  </w:style>
  <w:style w:type="character" w:customStyle="1" w:styleId="81">
    <w:name w:val="样式 zhang正文 + 宋体 小四 Char"/>
    <w:link w:val="82"/>
    <w:qFormat/>
    <w:uiPriority w:val="0"/>
    <w:rPr>
      <w:rFonts w:ascii="宋体" w:hAnsi="宋体" w:eastAsia="宋体"/>
      <w:sz w:val="24"/>
    </w:rPr>
  </w:style>
  <w:style w:type="paragraph" w:customStyle="1" w:styleId="82">
    <w:name w:val="样式 zhang正文 + 宋体 小四"/>
    <w:basedOn w:val="63"/>
    <w:link w:val="81"/>
    <w:qFormat/>
    <w:uiPriority w:val="0"/>
    <w:rPr>
      <w:rFonts w:ascii="宋体" w:hAnsi="宋体" w:eastAsia="宋体"/>
      <w:sz w:val="24"/>
    </w:rPr>
  </w:style>
  <w:style w:type="paragraph" w:customStyle="1" w:styleId="83">
    <w:name w:val="（环评）表头（小四）"/>
    <w:basedOn w:val="1"/>
    <w:qFormat/>
    <w:uiPriority w:val="0"/>
    <w:pPr>
      <w:spacing w:line="240" w:lineRule="auto"/>
      <w:ind w:firstLine="0" w:firstLineChars="0"/>
      <w:jc w:val="center"/>
    </w:pPr>
    <w:rPr>
      <w:rFonts w:ascii="宋体" w:hAnsi="宋体" w:cs="宋体"/>
      <w:b/>
      <w:color w:val="000000"/>
      <w:kern w:val="0"/>
      <w:szCs w:val="28"/>
      <w:lang w:val="zh-TW" w:eastAsia="zh-TW" w:bidi="zh-TW"/>
    </w:rPr>
  </w:style>
  <w:style w:type="paragraph" w:customStyle="1" w:styleId="84">
    <w:name w:val="Table Text"/>
    <w:basedOn w:val="1"/>
    <w:semiHidden/>
    <w:qFormat/>
    <w:uiPriority w:val="0"/>
    <w:rPr>
      <w:rFonts w:eastAsia="Times New Roman"/>
      <w:sz w:val="20"/>
      <w:szCs w:val="20"/>
      <w:lang w:eastAsia="en-US"/>
    </w:rPr>
  </w:style>
  <w:style w:type="paragraph" w:customStyle="1" w:styleId="85">
    <w:name w:val="报告表  段"/>
    <w:basedOn w:val="1"/>
    <w:qFormat/>
    <w:uiPriority w:val="0"/>
    <w:pPr>
      <w:adjustRightInd w:val="0"/>
      <w:ind w:firstLine="505" w:firstLineChars="0"/>
      <w:textAlignment w:val="baseline"/>
    </w:pPr>
    <w:rPr>
      <w:rFonts w:ascii="宋体"/>
      <w:kern w:val="0"/>
      <w:szCs w:val="20"/>
    </w:rPr>
  </w:style>
  <w:style w:type="paragraph" w:customStyle="1" w:styleId="86">
    <w:name w:val="正文_11"/>
    <w:qFormat/>
    <w:uiPriority w:val="0"/>
    <w:pPr>
      <w:widowControl w:val="0"/>
      <w:jc w:val="both"/>
    </w:pPr>
    <w:rPr>
      <w:rFonts w:ascii="Calibri" w:hAnsi="Calibri" w:eastAsia="宋体" w:cs="Times New Roman"/>
      <w:kern w:val="2"/>
      <w:sz w:val="21"/>
      <w:lang w:val="en-US" w:eastAsia="zh-CN" w:bidi="ar-SA"/>
    </w:rPr>
  </w:style>
  <w:style w:type="paragraph" w:customStyle="1" w:styleId="87">
    <w:name w:val="表正文"/>
    <w:basedOn w:val="1"/>
    <w:qFormat/>
    <w:uiPriority w:val="0"/>
    <w:pPr>
      <w:ind w:firstLine="200"/>
    </w:pPr>
  </w:style>
  <w:style w:type="paragraph" w:customStyle="1" w:styleId="88">
    <w:name w:val="（环评）表格内容"/>
    <w:basedOn w:val="1"/>
    <w:next w:val="12"/>
    <w:qFormat/>
    <w:uiPriority w:val="0"/>
    <w:pPr>
      <w:adjustRightInd w:val="0"/>
      <w:snapToGrid w:val="0"/>
      <w:spacing w:line="240" w:lineRule="auto"/>
      <w:ind w:firstLine="0" w:firstLineChars="0"/>
      <w:jc w:val="center"/>
    </w:pPr>
    <w:rPr>
      <w:iCs/>
      <w:kern w:val="0"/>
      <w:sz w:val="21"/>
      <w:szCs w:val="21"/>
    </w:rPr>
  </w:style>
  <w:style w:type="paragraph" w:customStyle="1" w:styleId="89">
    <w:name w:val="Table Paragraph"/>
    <w:qFormat/>
    <w:uiPriority w:val="1"/>
    <w:pPr>
      <w:widowControl w:val="0"/>
      <w:jc w:val="both"/>
    </w:pPr>
    <w:rPr>
      <w:rFonts w:ascii="宋体" w:hAnsi="宋体" w:eastAsia="宋体" w:cs="宋体"/>
      <w:kern w:val="2"/>
      <w:sz w:val="21"/>
      <w:szCs w:val="24"/>
      <w:lang w:val="en-US" w:eastAsia="en-US" w:bidi="en-US"/>
    </w:rPr>
  </w:style>
  <w:style w:type="paragraph" w:customStyle="1" w:styleId="90">
    <w:name w:val="一级aaa"/>
    <w:basedOn w:val="2"/>
    <w:qFormat/>
    <w:uiPriority w:val="0"/>
    <w:pPr>
      <w:keepNext w:val="0"/>
      <w:adjustRightInd w:val="0"/>
      <w:snapToGrid w:val="0"/>
      <w:spacing w:before="100" w:beforeLines="100" w:after="100" w:afterLines="100"/>
    </w:pPr>
  </w:style>
  <w:style w:type="paragraph" w:customStyle="1" w:styleId="91">
    <w:name w:val="普通(网站)2"/>
    <w:basedOn w:val="1"/>
    <w:qFormat/>
    <w:uiPriority w:val="0"/>
    <w:pPr>
      <w:widowControl/>
      <w:spacing w:before="100" w:beforeAutospacing="1" w:after="100" w:afterAutospacing="1"/>
      <w:jc w:val="left"/>
    </w:pPr>
    <w:rPr>
      <w:rFonts w:ascii="宋体" w:hAnsi="宋体"/>
      <w:szCs w:val="20"/>
    </w:rPr>
  </w:style>
  <w:style w:type="paragraph" w:customStyle="1" w:styleId="92">
    <w:name w:val="xl5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textAlignment w:val="center"/>
    </w:pPr>
    <w:rPr>
      <w:b/>
      <w:bCs/>
      <w:kern w:val="0"/>
      <w:sz w:val="20"/>
      <w:szCs w:val="20"/>
    </w:rPr>
  </w:style>
  <w:style w:type="paragraph" w:customStyle="1" w:styleId="93">
    <w:name w:val="报表正文"/>
    <w:basedOn w:val="1"/>
    <w:qFormat/>
    <w:uiPriority w:val="0"/>
    <w:pPr>
      <w:adjustRightInd w:val="0"/>
      <w:snapToGrid w:val="0"/>
      <w:ind w:firstLine="200"/>
    </w:pPr>
    <w:rPr>
      <w:rFonts w:eastAsia="楷体_GB2312"/>
      <w:szCs w:val="28"/>
    </w:rPr>
  </w:style>
  <w:style w:type="paragraph" w:customStyle="1" w:styleId="9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5">
    <w:name w:val="（环评）正文（小四）"/>
    <w:basedOn w:val="1"/>
    <w:qFormat/>
    <w:uiPriority w:val="0"/>
    <w:pPr>
      <w:ind w:firstLine="643"/>
    </w:pPr>
    <w:rPr>
      <w:rFonts w:ascii="Calibri" w:hAnsi="Calibri"/>
      <w:kern w:val="0"/>
      <w:szCs w:val="20"/>
    </w:rPr>
  </w:style>
  <w:style w:type="paragraph" w:customStyle="1" w:styleId="96">
    <w:name w:val="0正文"/>
    <w:basedOn w:val="1"/>
    <w:qFormat/>
    <w:uiPriority w:val="0"/>
  </w:style>
  <w:style w:type="paragraph" w:customStyle="1" w:styleId="97">
    <w:name w:val="表头"/>
    <w:basedOn w:val="1"/>
    <w:next w:val="1"/>
    <w:qFormat/>
    <w:uiPriority w:val="0"/>
    <w:pPr>
      <w:jc w:val="center"/>
    </w:pPr>
    <w:rPr>
      <w:b/>
      <w:szCs w:val="22"/>
    </w:rPr>
  </w:style>
  <w:style w:type="paragraph" w:customStyle="1" w:styleId="98">
    <w:name w:val="表格标题CCW"/>
    <w:qFormat/>
    <w:uiPriority w:val="0"/>
    <w:pPr>
      <w:jc w:val="center"/>
    </w:pPr>
    <w:rPr>
      <w:rFonts w:ascii="Times New Roman" w:hAnsi="Times New Roman" w:eastAsia="宋体" w:cs="Times New Roman"/>
      <w:b/>
      <w:kern w:val="2"/>
      <w:sz w:val="24"/>
      <w:szCs w:val="22"/>
      <w:lang w:val="en-US" w:eastAsia="zh-CN" w:bidi="ar-SA"/>
    </w:rPr>
  </w:style>
  <w:style w:type="paragraph" w:customStyle="1" w:styleId="99">
    <w:name w:val="CM11"/>
    <w:basedOn w:val="1"/>
    <w:next w:val="1"/>
    <w:qFormat/>
    <w:uiPriority w:val="0"/>
    <w:pPr>
      <w:autoSpaceDE w:val="0"/>
      <w:autoSpaceDN w:val="0"/>
      <w:adjustRightInd w:val="0"/>
      <w:spacing w:line="520" w:lineRule="atLeast"/>
      <w:jc w:val="left"/>
    </w:pPr>
    <w:rPr>
      <w:rFonts w:ascii="宋体"/>
      <w:kern w:val="0"/>
    </w:rPr>
  </w:style>
  <w:style w:type="paragraph" w:customStyle="1" w:styleId="100">
    <w:name w:val="表格样式"/>
    <w:basedOn w:val="1"/>
    <w:qFormat/>
    <w:uiPriority w:val="0"/>
    <w:pPr>
      <w:adjustRightInd w:val="0"/>
      <w:snapToGrid w:val="0"/>
      <w:spacing w:line="240" w:lineRule="auto"/>
      <w:ind w:firstLine="0" w:firstLineChars="0"/>
      <w:jc w:val="center"/>
    </w:pPr>
    <w:rPr>
      <w:sz w:val="21"/>
    </w:rPr>
  </w:style>
  <w:style w:type="paragraph" w:customStyle="1" w:styleId="101">
    <w:name w:val="4正文"/>
    <w:basedOn w:val="1"/>
    <w:qFormat/>
    <w:uiPriority w:val="0"/>
    <w:pPr>
      <w:adjustRightInd w:val="0"/>
      <w:snapToGrid w:val="0"/>
      <w:ind w:firstLine="480"/>
    </w:pPr>
    <w:rPr>
      <w:rFonts w:cs="宋体"/>
    </w:rPr>
  </w:style>
  <w:style w:type="paragraph" w:customStyle="1" w:styleId="102">
    <w:name w:val="样式 小四 行距: 固定值 30 磅 首行缩进:  2 字符1"/>
    <w:qFormat/>
    <w:uiPriority w:val="0"/>
    <w:pPr>
      <w:widowControl w:val="0"/>
      <w:ind w:firstLine="200"/>
      <w:jc w:val="both"/>
    </w:pPr>
    <w:rPr>
      <w:rFonts w:ascii="Calibri" w:hAnsi="Calibri" w:eastAsia="宋体" w:cs="宋体"/>
      <w:kern w:val="2"/>
      <w:sz w:val="21"/>
      <w:szCs w:val="24"/>
      <w:lang w:val="en-US" w:eastAsia="zh-CN" w:bidi="ar-SA"/>
    </w:rPr>
  </w:style>
  <w:style w:type="paragraph" w:customStyle="1" w:styleId="103">
    <w:name w:val="111表格"/>
    <w:basedOn w:val="1"/>
    <w:qFormat/>
    <w:uiPriority w:val="0"/>
    <w:pPr>
      <w:autoSpaceDE w:val="0"/>
      <w:autoSpaceDN w:val="0"/>
      <w:adjustRightInd w:val="0"/>
      <w:snapToGrid w:val="0"/>
      <w:ind w:firstLine="200"/>
    </w:pPr>
    <w:rPr>
      <w:rFonts w:cs="宋体"/>
      <w:kern w:val="0"/>
      <w:szCs w:val="21"/>
    </w:rPr>
  </w:style>
  <w:style w:type="paragraph" w:customStyle="1" w:styleId="104">
    <w:name w:val="样式 标题 1 + 首行缩进:  0 字符"/>
    <w:basedOn w:val="2"/>
    <w:next w:val="92"/>
    <w:qFormat/>
    <w:uiPriority w:val="99"/>
    <w:pPr>
      <w:spacing w:line="520" w:lineRule="exact"/>
      <w:jc w:val="both"/>
    </w:pPr>
    <w:rPr>
      <w:rFonts w:ascii="Arial" w:hAnsi="Arial" w:eastAsia="黑体" w:cs="宋体"/>
      <w:color w:val="auto"/>
      <w:sz w:val="30"/>
      <w:szCs w:val="20"/>
    </w:rPr>
  </w:style>
  <w:style w:type="paragraph" w:customStyle="1" w:styleId="105">
    <w:name w:val="a表格"/>
    <w:basedOn w:val="1"/>
    <w:qFormat/>
    <w:uiPriority w:val="0"/>
    <w:pPr>
      <w:snapToGrid w:val="0"/>
      <w:ind w:firstLine="0"/>
      <w:jc w:val="center"/>
    </w:pPr>
    <w:rPr>
      <w:sz w:val="21"/>
    </w:rPr>
  </w:style>
  <w:style w:type="paragraph" w:customStyle="1" w:styleId="106">
    <w:name w:val="表格名称"/>
    <w:next w:val="1"/>
    <w:qFormat/>
    <w:uiPriority w:val="0"/>
    <w:pPr>
      <w:widowControl w:val="0"/>
      <w:spacing w:line="360" w:lineRule="auto"/>
      <w:jc w:val="center"/>
    </w:pPr>
    <w:rPr>
      <w:rFonts w:ascii="Times New Roman" w:hAnsi="Times New Roman" w:eastAsia="宋体" w:cs="Times New Roman"/>
      <w:b/>
      <w:sz w:val="24"/>
      <w:szCs w:val="21"/>
      <w:lang w:val="en-US" w:eastAsia="zh-CN" w:bidi="ar-SA"/>
    </w:rPr>
  </w:style>
  <w:style w:type="paragraph" w:customStyle="1" w:styleId="107">
    <w:name w:val="表格固定文字"/>
    <w:basedOn w:val="1"/>
    <w:qFormat/>
    <w:uiPriority w:val="0"/>
    <w:pPr>
      <w:ind w:firstLine="0"/>
    </w:pPr>
    <w:rPr>
      <w:sz w:val="21"/>
    </w:rPr>
  </w:style>
  <w:style w:type="paragraph" w:customStyle="1" w:styleId="108">
    <w:name w:val="5段落"/>
    <w:basedOn w:val="1"/>
    <w:qFormat/>
    <w:uiPriority w:val="0"/>
    <w:pPr>
      <w:ind w:firstLine="420"/>
    </w:pPr>
  </w:style>
  <w:style w:type="paragraph" w:customStyle="1" w:styleId="109">
    <w:name w:val="表号"/>
    <w:basedOn w:val="1"/>
    <w:qFormat/>
    <w:uiPriority w:val="0"/>
    <w:pPr>
      <w:spacing w:line="320" w:lineRule="exact"/>
      <w:ind w:firstLine="200"/>
      <w:jc w:val="left"/>
    </w:pPr>
    <w:rPr>
      <w:rFonts w:ascii="Calibri" w:hAnsi="Calibri" w:eastAsia="黑体"/>
      <w:szCs w:val="22"/>
    </w:rPr>
  </w:style>
  <w:style w:type="paragraph" w:customStyle="1" w:styleId="110">
    <w:name w:val="正文1"/>
    <w:basedOn w:val="13"/>
    <w:qFormat/>
    <w:uiPriority w:val="0"/>
    <w:pPr>
      <w:ind w:firstLine="480"/>
    </w:pPr>
    <w:rPr>
      <w:rFonts w:hAnsi="宋体"/>
      <w:color w:val="3366FF"/>
    </w:rPr>
  </w:style>
  <w:style w:type="paragraph" w:customStyle="1" w:styleId="111">
    <w:name w:val="表格文字"/>
    <w:basedOn w:val="1"/>
    <w:next w:val="1"/>
    <w:qFormat/>
    <w:uiPriority w:val="0"/>
    <w:pPr>
      <w:ind w:firstLine="0"/>
      <w:jc w:val="center"/>
    </w:pPr>
    <w:rPr>
      <w:sz w:val="18"/>
      <w:szCs w:val="18"/>
    </w:rPr>
  </w:style>
  <w:style w:type="paragraph" w:customStyle="1" w:styleId="112">
    <w:name w:val="6表格"/>
    <w:basedOn w:val="1"/>
    <w:qFormat/>
    <w:uiPriority w:val="0"/>
    <w:pPr>
      <w:jc w:val="center"/>
    </w:pPr>
  </w:style>
  <w:style w:type="paragraph" w:customStyle="1" w:styleId="113">
    <w:name w:val="样式 首行缩进:  2 字符1"/>
    <w:basedOn w:val="1"/>
    <w:qFormat/>
    <w:uiPriority w:val="0"/>
    <w:pPr>
      <w:adjustRightInd w:val="0"/>
      <w:snapToGrid w:val="0"/>
      <w:ind w:firstLine="480"/>
    </w:pPr>
    <w:rPr>
      <w:rFonts w:hint="eastAsia" w:ascii="宋体" w:hAnsi="宋体"/>
      <w:szCs w:val="20"/>
    </w:rPr>
  </w:style>
  <w:style w:type="paragraph" w:customStyle="1" w:styleId="114">
    <w:name w:val="常用"/>
    <w:basedOn w:val="1"/>
    <w:qFormat/>
    <w:uiPriority w:val="0"/>
    <w:pPr>
      <w:widowControl/>
      <w:ind w:firstLine="200"/>
      <w:jc w:val="left"/>
    </w:pPr>
    <w:rPr>
      <w:rFonts w:ascii="宋体" w:hAnsi="宋体"/>
      <w:kern w:val="0"/>
      <w:szCs w:val="28"/>
    </w:rPr>
  </w:style>
  <w:style w:type="paragraph" w:customStyle="1" w:styleId="115">
    <w:name w:val="Char Char Char Char Char Char Char Char Char1 Char"/>
    <w:basedOn w:val="1"/>
    <w:semiHidden/>
    <w:qFormat/>
    <w:uiPriority w:val="0"/>
    <w:pPr>
      <w:ind w:firstLine="0"/>
    </w:pPr>
    <w:rPr>
      <w:rFonts w:ascii="宋体" w:hAnsi="宋体" w:cs="Courier New"/>
      <w:sz w:val="32"/>
      <w:szCs w:val="32"/>
    </w:rPr>
  </w:style>
  <w:style w:type="paragraph" w:customStyle="1" w:styleId="116">
    <w:name w:val="表内容"/>
    <w:basedOn w:val="1"/>
    <w:qFormat/>
    <w:uiPriority w:val="0"/>
    <w:pPr>
      <w:widowControl/>
      <w:jc w:val="center"/>
    </w:pPr>
    <w:rPr>
      <w:kern w:val="0"/>
      <w:lang w:val="en-GB"/>
    </w:rPr>
  </w:style>
  <w:style w:type="paragraph" w:customStyle="1" w:styleId="117">
    <w:name w:val="表格标题1"/>
    <w:basedOn w:val="1"/>
    <w:qFormat/>
    <w:uiPriority w:val="0"/>
    <w:pPr>
      <w:adjustRightInd w:val="0"/>
      <w:snapToGrid w:val="0"/>
      <w:jc w:val="left"/>
      <w:outlineLvl w:val="0"/>
    </w:pPr>
    <w:rPr>
      <w:rFonts w:ascii="方正小标宋_GBK"/>
      <w:bCs/>
      <w:sz w:val="28"/>
      <w:szCs w:val="72"/>
    </w:rPr>
  </w:style>
  <w:style w:type="paragraph" w:customStyle="1" w:styleId="118">
    <w:name w:val="111正文的格式"/>
    <w:basedOn w:val="1"/>
    <w:qFormat/>
    <w:uiPriority w:val="0"/>
    <w:pPr>
      <w:adjustRightInd w:val="0"/>
      <w:snapToGrid w:val="0"/>
      <w:ind w:firstLine="480"/>
    </w:pPr>
    <w:rPr>
      <w:color w:val="0000FF"/>
    </w:rPr>
  </w:style>
  <w:style w:type="paragraph" w:customStyle="1" w:styleId="119">
    <w:name w:val="列出段落1"/>
    <w:basedOn w:val="1"/>
    <w:qFormat/>
    <w:uiPriority w:val="34"/>
    <w:pPr>
      <w:ind w:firstLine="420"/>
    </w:pPr>
    <w:rPr>
      <w:rFonts w:ascii="Calibri" w:hAnsi="Calibri"/>
      <w:szCs w:val="22"/>
    </w:rPr>
  </w:style>
  <w:style w:type="paragraph" w:customStyle="1" w:styleId="120">
    <w:name w:val="标题3"/>
    <w:basedOn w:val="1"/>
    <w:qFormat/>
    <w:uiPriority w:val="0"/>
    <w:pPr>
      <w:outlineLvl w:val="2"/>
    </w:pPr>
    <w:rPr>
      <w:b/>
    </w:rPr>
  </w:style>
  <w:style w:type="paragraph" w:customStyle="1" w:styleId="121">
    <w:name w:val="标题1"/>
    <w:basedOn w:val="25"/>
    <w:qFormat/>
    <w:uiPriority w:val="0"/>
    <w:pPr>
      <w:jc w:val="center"/>
      <w:outlineLvl w:val="0"/>
    </w:pPr>
    <w:rPr>
      <w:rFonts w:ascii="黑体" w:hAnsi="黑体" w:eastAsia="黑体"/>
      <w:snapToGrid w:val="0"/>
      <w:sz w:val="30"/>
      <w:szCs w:val="30"/>
    </w:rPr>
  </w:style>
  <w:style w:type="paragraph" w:customStyle="1" w:styleId="122">
    <w:name w:val="正文的格式"/>
    <w:basedOn w:val="1"/>
    <w:qFormat/>
    <w:uiPriority w:val="0"/>
    <w:pPr>
      <w:ind w:firstLine="200"/>
    </w:pPr>
  </w:style>
  <w:style w:type="paragraph" w:customStyle="1" w:styleId="123">
    <w:name w:val="表格字体"/>
    <w:qFormat/>
    <w:uiPriority w:val="0"/>
    <w:pPr>
      <w:snapToGrid w:val="0"/>
      <w:jc w:val="center"/>
    </w:pPr>
    <w:rPr>
      <w:rFonts w:ascii="Times New Roman" w:hAnsi="Times New Roman" w:eastAsia="宋体" w:cs="Times New Roman"/>
      <w:kern w:val="2"/>
      <w:sz w:val="21"/>
      <w:lang w:val="en-US" w:eastAsia="zh-CN" w:bidi="ar-SA"/>
    </w:rPr>
  </w:style>
  <w:style w:type="paragraph" w:customStyle="1" w:styleId="124">
    <w:name w:val="5文章(治)"/>
    <w:basedOn w:val="1"/>
    <w:qFormat/>
    <w:uiPriority w:val="0"/>
    <w:pPr>
      <w:ind w:firstLine="560"/>
    </w:pPr>
    <w:rPr>
      <w:szCs w:val="20"/>
    </w:rPr>
  </w:style>
  <w:style w:type="paragraph" w:customStyle="1" w:styleId="125">
    <w:name w:val="②表格内文字"/>
    <w:basedOn w:val="1"/>
    <w:qFormat/>
    <w:uiPriority w:val="0"/>
    <w:pPr>
      <w:jc w:val="center"/>
    </w:pPr>
    <w:rPr>
      <w:color w:val="000000"/>
      <w:szCs w:val="21"/>
    </w:rPr>
  </w:style>
  <w:style w:type="paragraph" w:customStyle="1" w:styleId="126">
    <w:name w:val="111正文格式111"/>
    <w:basedOn w:val="122"/>
    <w:qFormat/>
    <w:uiPriority w:val="0"/>
    <w:pPr>
      <w:adjustRightInd w:val="0"/>
      <w:snapToGrid w:val="0"/>
    </w:pPr>
    <w:rPr>
      <w:bCs/>
    </w:rPr>
  </w:style>
  <w:style w:type="paragraph" w:customStyle="1" w:styleId="127">
    <w:name w:val="正文_18"/>
    <w:qFormat/>
    <w:uiPriority w:val="0"/>
    <w:pPr>
      <w:widowControl w:val="0"/>
      <w:jc w:val="both"/>
    </w:pPr>
    <w:rPr>
      <w:rFonts w:ascii="等线" w:hAnsi="等线" w:eastAsia="等线" w:cs="Times New Roman"/>
      <w:kern w:val="2"/>
      <w:sz w:val="21"/>
      <w:szCs w:val="22"/>
      <w:lang w:val="en-US" w:eastAsia="zh-CN" w:bidi="ar-SA"/>
    </w:rPr>
  </w:style>
  <w:style w:type="paragraph" w:customStyle="1" w:styleId="128">
    <w:name w:val="表的标题"/>
    <w:basedOn w:val="1"/>
    <w:next w:val="129"/>
    <w:qFormat/>
    <w:uiPriority w:val="0"/>
    <w:pPr>
      <w:adjustRightInd w:val="0"/>
      <w:snapToGrid w:val="0"/>
      <w:spacing w:before="50" w:beforeLines="50"/>
      <w:jc w:val="center"/>
    </w:pPr>
    <w:rPr>
      <w:rFonts w:eastAsia="黑体" w:cs="宋体"/>
      <w:szCs w:val="20"/>
    </w:rPr>
  </w:style>
  <w:style w:type="paragraph" w:customStyle="1" w:styleId="129">
    <w:name w:val="表中正文"/>
    <w:basedOn w:val="1"/>
    <w:semiHidden/>
    <w:qFormat/>
    <w:uiPriority w:val="0"/>
    <w:pPr>
      <w:autoSpaceDE w:val="0"/>
      <w:autoSpaceDN w:val="0"/>
      <w:adjustRightInd w:val="0"/>
      <w:snapToGrid w:val="0"/>
      <w:spacing w:line="300" w:lineRule="exact"/>
      <w:ind w:firstLine="0" w:firstLineChars="0"/>
      <w:jc w:val="center"/>
    </w:pPr>
    <w:rPr>
      <w:rFonts w:ascii="宋体"/>
      <w:kern w:val="0"/>
      <w:sz w:val="21"/>
      <w:szCs w:val="21"/>
    </w:rPr>
  </w:style>
  <w:style w:type="table" w:customStyle="1" w:styleId="130">
    <w:name w:val="Table Normal"/>
    <w:unhideWhenUsed/>
    <w:qFormat/>
    <w:uiPriority w:val="0"/>
    <w:tblPr>
      <w:tblCellMar>
        <w:top w:w="0" w:type="dxa"/>
        <w:left w:w="0" w:type="dxa"/>
        <w:bottom w:w="0" w:type="dxa"/>
        <w:right w:w="0" w:type="dxa"/>
      </w:tblCellMar>
    </w:tblPr>
  </w:style>
  <w:style w:type="paragraph" w:customStyle="1" w:styleId="131">
    <w:name w:val="环评 表格"/>
    <w:basedOn w:val="132"/>
    <w:qFormat/>
    <w:uiPriority w:val="0"/>
    <w:pPr>
      <w:pBdr>
        <w:top w:val="none" w:color="auto" w:sz="0" w:space="1"/>
        <w:left w:val="dashed" w:color="FFFFFF" w:sz="4" w:space="4"/>
        <w:bottom w:val="none" w:color="auto" w:sz="0" w:space="1"/>
        <w:right w:val="dashed" w:color="FFFFFF" w:sz="4" w:space="4"/>
      </w:pBdr>
      <w:ind w:firstLine="0" w:firstLineChars="0"/>
      <w:jc w:val="center"/>
    </w:pPr>
    <w:rPr>
      <w:sz w:val="21"/>
      <w:szCs w:val="21"/>
      <w:lang w:eastAsia="en-US"/>
    </w:rPr>
  </w:style>
  <w:style w:type="paragraph" w:customStyle="1" w:styleId="132">
    <w:name w:val="无间隔1"/>
    <w:qFormat/>
    <w:uiPriority w:val="1"/>
    <w:pPr>
      <w:widowControl w:val="0"/>
      <w:ind w:firstLine="200" w:firstLineChars="200"/>
      <w:jc w:val="both"/>
    </w:pPr>
    <w:rPr>
      <w:rFonts w:ascii="Calibri" w:hAnsi="Calibri" w:eastAsia="宋体" w:cs="Calibri"/>
      <w:kern w:val="2"/>
      <w:sz w:val="24"/>
      <w:szCs w:val="24"/>
      <w:lang w:val="en-US" w:eastAsia="zh-CN" w:bidi="ar-SA"/>
    </w:rPr>
  </w:style>
  <w:style w:type="paragraph" w:customStyle="1" w:styleId="133">
    <w:name w:val="1表格（5宋.）"/>
    <w:basedOn w:val="1"/>
    <w:qFormat/>
    <w:uiPriority w:val="0"/>
    <w:pPr>
      <w:spacing w:line="240" w:lineRule="auto"/>
      <w:ind w:firstLine="0" w:firstLineChars="0"/>
      <w:jc w:val="center"/>
    </w:pPr>
    <w:rPr>
      <w:rFonts w:ascii="宋体" w:hAnsi="宋体" w:cs="宋体"/>
      <w:color w:val="000000"/>
      <w:sz w:val="21"/>
      <w:szCs w:val="22"/>
      <w:lang w:val="zh-TW" w:eastAsia="zh-TW" w:bidi="zh-TW"/>
    </w:rPr>
  </w:style>
  <w:style w:type="paragraph" w:customStyle="1" w:styleId="134">
    <w:name w:val="6.1lin正文缩进"/>
    <w:basedOn w:val="1"/>
    <w:qFormat/>
    <w:uiPriority w:val="0"/>
    <w:pPr>
      <w:ind w:firstLine="200"/>
    </w:pPr>
  </w:style>
  <w:style w:type="paragraph" w:customStyle="1" w:styleId="135">
    <w:name w:val="11111表土"/>
    <w:basedOn w:val="1"/>
    <w:qFormat/>
    <w:uiPriority w:val="0"/>
    <w:pPr>
      <w:widowControl/>
      <w:adjustRightInd w:val="0"/>
      <w:snapToGrid w:val="0"/>
      <w:jc w:val="center"/>
    </w:pPr>
    <w:rPr>
      <w:rFonts w:eastAsia="黑体"/>
      <w:kern w:val="0"/>
    </w:rPr>
  </w:style>
  <w:style w:type="paragraph" w:customStyle="1" w:styleId="136">
    <w:name w:val="D正文"/>
    <w:basedOn w:val="1"/>
    <w:qFormat/>
    <w:uiPriority w:val="0"/>
    <w:pPr>
      <w:adjustRightInd w:val="0"/>
      <w:snapToGrid w:val="0"/>
      <w:ind w:firstLine="200"/>
    </w:pPr>
    <w:rPr>
      <w:rFonts w:cs="宋体"/>
      <w:bCs/>
      <w:szCs w:val="21"/>
    </w:rPr>
  </w:style>
  <w:style w:type="paragraph" w:customStyle="1" w:styleId="137">
    <w:name w:val="样式2"/>
    <w:basedOn w:val="14"/>
    <w:next w:val="5"/>
    <w:qFormat/>
    <w:uiPriority w:val="0"/>
    <w:pPr>
      <w:ind w:firstLine="482"/>
    </w:pPr>
    <w:rPr>
      <w:b/>
      <w:sz w:val="24"/>
    </w:rPr>
  </w:style>
  <w:style w:type="paragraph" w:customStyle="1" w:styleId="138">
    <w:name w:val="BGZX"/>
    <w:next w:val="1"/>
    <w:qFormat/>
    <w:uiPriority w:val="0"/>
    <w:pPr>
      <w:widowControl w:val="0"/>
      <w:spacing w:line="360" w:lineRule="auto"/>
      <w:ind w:firstLine="480" w:firstLineChars="200"/>
      <w:jc w:val="both"/>
      <w:textAlignment w:val="center"/>
    </w:pPr>
    <w:rPr>
      <w:rFonts w:ascii="Times New Roman" w:hAnsi="Times New Roman" w:eastAsia="宋体" w:cs="Times New Roman"/>
      <w:color w:val="000000"/>
      <w:sz w:val="24"/>
      <w:lang w:val="en-US" w:eastAsia="zh-CN" w:bidi="ar-SA"/>
    </w:rPr>
  </w:style>
  <w:style w:type="paragraph" w:customStyle="1" w:styleId="139">
    <w:name w:val="文本"/>
    <w:qFormat/>
    <w:uiPriority w:val="0"/>
    <w:pPr>
      <w:widowControl w:val="0"/>
      <w:spacing w:line="360" w:lineRule="auto"/>
      <w:ind w:firstLine="480" w:firstLineChars="200"/>
      <w:jc w:val="both"/>
    </w:pPr>
    <w:rPr>
      <w:rFonts w:ascii="Times New Roman" w:hAnsi="Times New Roman" w:eastAsia="宋体" w:cs="宋体"/>
      <w:snapToGrid w:val="0"/>
      <w:color w:val="000000"/>
      <w:sz w:val="24"/>
      <w:lang w:val="en-US" w:eastAsia="zh-CN" w:bidi="ar-SA"/>
    </w:rPr>
  </w:style>
  <w:style w:type="paragraph" w:customStyle="1" w:styleId="140">
    <w:name w:val="888表格内容"/>
    <w:basedOn w:val="1"/>
    <w:qFormat/>
    <w:uiPriority w:val="0"/>
    <w:pPr>
      <w:adjustRightInd w:val="0"/>
      <w:snapToGrid w:val="0"/>
      <w:jc w:val="center"/>
    </w:pPr>
    <w:rPr>
      <w:szCs w:val="21"/>
    </w:rPr>
  </w:style>
  <w:style w:type="paragraph" w:customStyle="1" w:styleId="141">
    <w:name w:val="7表格(壹澜)"/>
    <w:qFormat/>
    <w:uiPriority w:val="0"/>
    <w:pPr>
      <w:widowControl w:val="0"/>
      <w:jc w:val="center"/>
    </w:pPr>
    <w:rPr>
      <w:rFonts w:ascii="Times New Roman" w:hAnsi="Times New Roman" w:eastAsia="楷体_GB2312" w:cs="Times New Roman"/>
      <w:sz w:val="21"/>
      <w:szCs w:val="21"/>
      <w:lang w:val="en-US" w:eastAsia="zh-CN" w:bidi="ar-SA"/>
    </w:rPr>
  </w:style>
  <w:style w:type="paragraph" w:customStyle="1" w:styleId="142">
    <w:name w:val="正文（小四）"/>
    <w:qFormat/>
    <w:uiPriority w:val="0"/>
    <w:pPr>
      <w:spacing w:line="360" w:lineRule="auto"/>
      <w:ind w:firstLine="200" w:firstLineChars="200"/>
      <w:jc w:val="both"/>
    </w:pPr>
    <w:rPr>
      <w:rFonts w:ascii="Times New Roman" w:hAnsi="Times New Roman" w:eastAsia="宋体" w:cs="Times New Roman"/>
      <w:bCs/>
      <w:color w:val="000000"/>
      <w:kern w:val="2"/>
      <w:sz w:val="24"/>
      <w:szCs w:val="32"/>
      <w:lang w:val="en-US" w:eastAsia="zh-CN" w:bidi="ar-SA"/>
    </w:rPr>
  </w:style>
  <w:style w:type="paragraph" w:customStyle="1" w:styleId="143">
    <w:name w:val="可可表（图）头"/>
    <w:qFormat/>
    <w:uiPriority w:val="0"/>
    <w:pPr>
      <w:widowControl w:val="0"/>
      <w:adjustRightInd w:val="0"/>
      <w:jc w:val="center"/>
      <w:outlineLvl w:val="4"/>
    </w:pPr>
    <w:rPr>
      <w:rFonts w:ascii="Times New Roman" w:hAnsi="Times New Roman" w:eastAsia="宋体" w:cs="Times New Roman"/>
      <w:b/>
      <w:kern w:val="2"/>
      <w:sz w:val="24"/>
      <w:szCs w:val="22"/>
      <w:lang w:val="en-US" w:eastAsia="zh-CN" w:bidi="ar-SA"/>
    </w:rPr>
  </w:style>
  <w:style w:type="paragraph" w:customStyle="1" w:styleId="144">
    <w:name w:val="可可-表格内文字"/>
    <w:qFormat/>
    <w:uiPriority w:val="0"/>
    <w:pPr>
      <w:widowControl w:val="0"/>
      <w:tabs>
        <w:tab w:val="left" w:pos="0"/>
      </w:tabs>
      <w:adjustRightInd w:val="0"/>
      <w:snapToGrid w:val="0"/>
      <w:jc w:val="center"/>
    </w:pPr>
    <w:rPr>
      <w:rFonts w:ascii="Times New Roman" w:hAnsi="Times New Roman" w:eastAsia="宋体" w:cs="Times New Roman"/>
      <w:snapToGrid w:val="0"/>
      <w:kern w:val="2"/>
      <w:sz w:val="21"/>
      <w:szCs w:val="21"/>
      <w:lang w:val="en-US" w:eastAsia="zh-CN" w:bidi="ar-SA"/>
    </w:rPr>
  </w:style>
  <w:style w:type="paragraph" w:customStyle="1" w:styleId="145">
    <w:name w:val="正文内容"/>
    <w:qFormat/>
    <w:uiPriority w:val="0"/>
    <w:pPr>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46">
    <w:name w:val="D表头"/>
    <w:next w:val="1"/>
    <w:qFormat/>
    <w:uiPriority w:val="0"/>
    <w:pPr>
      <w:widowControl w:val="0"/>
      <w:tabs>
        <w:tab w:val="left" w:pos="360"/>
      </w:tabs>
      <w:spacing w:before="50" w:beforeLines="50"/>
      <w:jc w:val="center"/>
    </w:pPr>
    <w:rPr>
      <w:rFonts w:ascii="Times New Roman" w:hAnsi="Times New Roman" w:eastAsia="宋体" w:cs="Times New Roman"/>
      <w:b/>
      <w:bCs/>
      <w:kern w:val="2"/>
      <w:sz w:val="24"/>
      <w:lang w:val="en-US" w:eastAsia="zh-CN" w:bidi="ar-SA"/>
    </w:rPr>
  </w:style>
  <w:style w:type="paragraph" w:customStyle="1" w:styleId="147">
    <w:name w:val="5表格"/>
    <w:qFormat/>
    <w:uiPriority w:val="0"/>
    <w:pPr>
      <w:widowControl w:val="0"/>
      <w:jc w:val="center"/>
    </w:pPr>
    <w:rPr>
      <w:rFonts w:ascii="Times New Roman" w:hAnsi="Times New Roman" w:eastAsia="仿宋" w:cs="Times New Roman"/>
      <w:kern w:val="24"/>
      <w:sz w:val="21"/>
      <w:szCs w:val="21"/>
      <w:lang w:val="en-US" w:eastAsia="zh-CN" w:bidi="ar-SA"/>
    </w:rPr>
  </w:style>
  <w:style w:type="paragraph" w:customStyle="1" w:styleId="148">
    <w:name w:val="表头111"/>
    <w:qFormat/>
    <w:uiPriority w:val="0"/>
    <w:pPr>
      <w:widowControl w:val="0"/>
      <w:autoSpaceDE w:val="0"/>
      <w:autoSpaceDN w:val="0"/>
      <w:adjustRightInd w:val="0"/>
      <w:snapToGrid w:val="0"/>
      <w:spacing w:before="60" w:after="160" w:line="560" w:lineRule="exact"/>
      <w:ind w:right="113"/>
      <w:jc w:val="center"/>
      <w:textAlignment w:val="baseline"/>
    </w:pPr>
    <w:rPr>
      <w:rFonts w:ascii="Tahoma" w:hAnsi="Tahoma" w:eastAsia="黑体" w:cs="Times New Roman"/>
      <w:color w:val="000000"/>
      <w:sz w:val="18"/>
      <w:lang w:val="en-US" w:eastAsia="zh-CN" w:bidi="ar-SA"/>
    </w:rPr>
  </w:style>
  <w:style w:type="paragraph" w:customStyle="1" w:styleId="149">
    <w:name w:val="正文格式"/>
    <w:qFormat/>
    <w:uiPriority w:val="0"/>
    <w:pPr>
      <w:widowControl w:val="0"/>
      <w:snapToGrid w:val="0"/>
      <w:spacing w:before="60" w:after="160" w:line="560" w:lineRule="exact"/>
      <w:ind w:right="113" w:firstLine="200" w:firstLineChars="200"/>
      <w:jc w:val="both"/>
    </w:pPr>
    <w:rPr>
      <w:rFonts w:ascii="Tahoma" w:hAnsi="Tahoma" w:eastAsia="宋体" w:cs="Times New Roman"/>
      <w:color w:val="000000"/>
      <w:sz w:val="18"/>
      <w:szCs w:val="24"/>
      <w:lang w:val="en-US" w:eastAsia="zh-CN" w:bidi="ar-SA"/>
    </w:rPr>
  </w:style>
  <w:style w:type="paragraph" w:customStyle="1" w:styleId="150">
    <w:name w:val="lin正文"/>
    <w:qFormat/>
    <w:uiPriority w:val="0"/>
    <w:pPr>
      <w:widowControl w:val="0"/>
      <w:snapToGrid w:val="0"/>
      <w:spacing w:before="60" w:after="160" w:line="560" w:lineRule="exact"/>
      <w:ind w:right="113" w:firstLine="200" w:firstLineChars="200"/>
      <w:jc w:val="both"/>
    </w:pPr>
    <w:rPr>
      <w:rFonts w:ascii="Tahoma" w:hAnsi="Tahoma" w:eastAsia="宋体" w:cs="Times New Roman"/>
      <w:color w:val="000000"/>
      <w:sz w:val="18"/>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0" Type="http://schemas.openxmlformats.org/officeDocument/2006/relationships/fontTable" Target="fontTable.xml"/><Relationship Id="rId6" Type="http://schemas.openxmlformats.org/officeDocument/2006/relationships/header" Target="header2.xml"/><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jpeg"/><Relationship Id="rId50" Type="http://schemas.openxmlformats.org/officeDocument/2006/relationships/image" Target="media/image35.pn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wmf"/><Relationship Id="rId46" Type="http://schemas.openxmlformats.org/officeDocument/2006/relationships/image" Target="media/image31.wmf"/><Relationship Id="rId45" Type="http://schemas.openxmlformats.org/officeDocument/2006/relationships/image" Target="media/image30.wmf"/><Relationship Id="rId44" Type="http://schemas.openxmlformats.org/officeDocument/2006/relationships/image" Target="media/image29.wmf"/><Relationship Id="rId43" Type="http://schemas.openxmlformats.org/officeDocument/2006/relationships/image" Target="media/image28.jpeg"/><Relationship Id="rId42" Type="http://schemas.openxmlformats.org/officeDocument/2006/relationships/image" Target="media/image27.wmf"/><Relationship Id="rId41" Type="http://schemas.openxmlformats.org/officeDocument/2006/relationships/image" Target="media/image26.emf"/><Relationship Id="rId40" Type="http://schemas.openxmlformats.org/officeDocument/2006/relationships/oleObject" Target="embeddings/oleObject1.bin"/><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2090f77f-8a08-4eb7-b20b-4441ed140cb6</errorID>
      <errorWord>：</errorWord>
      <group>L1_Format</group>
      <groupName>格式问题</groupName>
      <ability>L2_HalfPunc</ability>
      <abilityName>全半角检查</abilityName>
      <candidateList>
        <item>:</item>
      </candidateList>
      <explain>文本全半角错误。</explain>
      <paraID>3A9FDBAF</paraID>
      <start>1</start>
      <end>2</end>
      <status>ignored</status>
      <modifiedWord/>
      <trackRevisions>false</trackRevisions>
    </reviewItem>
    <reviewItem>
      <errorID>18de3352-64c3-4cd9-a3cf-42be51fc5085</errorID>
      <errorWord>，</errorWord>
      <group>L1_Format</group>
      <groupName>格式问题</groupName>
      <ability>L2_HalfPunc</ability>
      <abilityName>全半角检查</abilityName>
      <candidateList>
        <item>, </item>
      </candidateList>
      <explain>文本全半角错误。</explain>
      <paraID>3A9FDBAF</paraID>
      <start>16</start>
      <end>17</end>
      <status>ignored</status>
      <modifiedWord/>
      <trackRevisions>false</trackRevisions>
    </reviewItem>
    <reviewItem>
      <errorID>c09b114a-8a39-4b25-b12c-aacf258af45f</errorID>
      <errorWord>：</errorWord>
      <group>L1_Format</group>
      <groupName>格式问题</groupName>
      <ability>L2_HalfPunc</ability>
      <abilityName>全半角检查</abilityName>
      <candidateList>
        <item>:</item>
      </candidateList>
      <explain>文本全半角错误。</explain>
      <paraID>3A9FDBAF</paraID>
      <start>18</start>
      <end>19</end>
      <status>ignored</status>
      <modifiedWord/>
      <trackRevisions>false</trackRevisions>
    </reviewItem>
    <reviewItem>
      <errorID>569479a2-1314-4fd5-b1d8-069e8c4ce0f7</errorID>
      <errorWord>：</errorWord>
      <group>L1_Format</group>
      <groupName>格式问题</groupName>
      <ability>L2_HalfPunc</ability>
      <abilityName>全半角检查</abilityName>
      <candidateList>
        <item>:</item>
      </candidateList>
      <explain>文本全半角错误。</explain>
      <paraID>70685739</paraID>
      <start>14</start>
      <end>15</end>
      <status>ignored</status>
      <modifiedWord/>
      <trackRevisions>false</trackRevisions>
    </reviewItem>
    <reviewItem>
      <errorID>a5d1c930-5b48-4ab9-ae7a-c124d40a99f3</errorID>
      <errorWord>座落</errorWord>
      <group>L1_Word</group>
      <groupName>字词问题</groupName>
      <ability>L2_Typo</ability>
      <abilityName>字词错误</abilityName>
      <candidateList>
        <item>坐落</item>
      </candidateList>
      <explain>〈动〉建筑物位置处在（在某处）：我们的学校～在环境幽静的市郊。</explain>
      <paraID>2BAD9655</paraID>
      <start>58</start>
      <end>60</end>
      <status>unmodified</status>
      <modifiedWord/>
      <trackRevisions>false</trackRevisions>
    </reviewItem>
    <reviewItem>
      <errorID>980d6f94-da71-40c1-88dc-13fbf3a7ea94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8EDAB00</paraID>
      <start>22</start>
      <end>23</end>
      <status>unmodified</status>
      <modifiedWord/>
      <trackRevisions>false</trackRevisions>
    </reviewItem>
    <reviewItem>
      <errorID>08cdb8d5-ee41-4444-ab32-79e5ef30e545</errorID>
      <errorWord>、自</errorWord>
      <group>L1_Grammar</group>
      <groupName>语法问题</groupName>
      <ability>L2_Order</ability>
      <abilityName>语序不当</abilityName>
      <candidateList>
        <item>、</item>
      </candidateList>
      <explain>句子可能没有遵循时空、逻辑顺序，或者介词、关联词等位置不当。</explain>
      <paraID>60ADB69F</paraID>
      <start>57</start>
      <end>59</end>
      <status>unmodified</status>
      <modifiedWord/>
      <trackRevisions>false</trackRevisions>
    </reviewItem>
    <reviewItem>
      <errorID>e1f72bc1-d2d0-4358-a1d6-0368f6ea72d3</errorID>
      <errorWord>）</errorWord>
      <group>L1_Word</group>
      <groupName>字词问题</groupName>
      <ability>L2_Typo</ability>
      <abilityName>字词错误</abilityName>
      <candidateList>
        <item>）和</item>
      </candidateList>
      <explain/>
      <paraID>18D2A3C8</paraID>
      <start>55</start>
      <end>56</end>
      <status>unmodified</status>
      <modifiedWord/>
      <trackRevisions>false</trackRevisions>
    </reviewItem>
    <reviewItem>
      <errorID>8ac115fe-0344-4c9c-937c-f991b1fbc791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18D2A3C8</paraID>
      <start>203</start>
      <end>204</end>
      <status>unmodified</status>
      <modifiedWord/>
      <trackRevisions>false</trackRevisions>
    </reviewItem>
    <reviewItem>
      <errorID>df514bf6-60d5-400a-aeae-2bce33bd0b92</errorID>
      <errorWord>国家发改委</errorWord>
      <group>L1_Knowledge</group>
      <groupName>知识性问题</groupName>
      <ability>L2_Knowledge</ability>
      <abilityName>其他知识</abilityName>
      <candidateList>
        <item>国家发展改革委</item>
      </candidateList>
      <explain/>
      <paraID>3950FC13</paraID>
      <start>49</start>
      <end>54</end>
      <status>unmodified</status>
      <modifiedWord/>
      <trackRevisions>false</trackRevisions>
    </reviewItem>
    <reviewItem>
      <errorID>9c6ae4d8-1f6e-4007-b02d-9b15168dd40a</errorID>
      <errorWord>法律、法规</errorWord>
      <group>L1_Word</group>
      <groupName>字词问题</groupName>
      <ability>L2_Typo</ability>
      <abilityName>字词错误</abilityName>
      <candidateList>
        <item>法律法规</item>
      </candidateList>
      <explain/>
      <paraID>3950FC13</paraID>
      <start>137</start>
      <end>142</end>
      <status>unmodified</status>
      <modifiedWord/>
      <trackRevisions>false</trackRevisions>
    </reviewItem>
    <reviewItem>
      <errorID>e5b8c356-36a2-4149-91ac-23048ef5b6bf</errorID>
      <errorWord>-</errorWord>
      <group>L1_Format</group>
      <groupName>格式问题</groupName>
      <ability>L2_HalfPunc</ability>
      <abilityName>全半角检查</abilityName>
      <candidateList>
        <item>－</item>
      </candidateList>
      <explain>文本全半角错误。</explain>
      <paraID>7D3C7FA4</paraID>
      <start>17</start>
      <end>18</end>
      <status>unmodified</status>
      <modifiedWord/>
      <trackRevisions>false</trackRevisions>
    </reviewItem>
    <reviewItem>
      <errorID>f1f0ebad-9409-4912-9a6e-ce8120f5ffe1</errorID>
      <errorWord>地面一层</errorWord>
      <group>L1_Grammar</group>
      <groupName>语法问题</groupName>
      <ability>L2_Order</ability>
      <abilityName>语序不当</abilityName>
      <candidateList>
        <item>一层地面</item>
      </candidateList>
      <explain>句子可能没有遵循时空、逻辑顺序，或者介词、关联词等位置不当。</explain>
      <paraID>2430D2AD</paraID>
      <start>73</start>
      <end>77</end>
      <status>unmodified</status>
      <modifiedWord/>
      <trackRevisions>false</trackRevisions>
    </reviewItem>
    <reviewItem>
      <errorID>34d64c19-3afb-43e1-bac9-efc736d9bdba</errorID>
      <errorWord>其它</errorWord>
      <group>L1_Word</group>
      <groupName>字词问题</groupName>
      <ability>L2_Alias</ability>
      <abilityName>也作/曾用词</abilityName>
      <candidateList>
        <item>其他</item>
      </candidateList>
      <explain>词汇[其它]为不规范表述或旧称，其规范书面表述为[其他]。</explain>
      <paraID>483EEC84</paraID>
      <start>122</start>
      <end>124</end>
      <status>unmodified</status>
      <modifiedWord/>
      <trackRevisions>false</trackRevisions>
    </reviewItem>
    <reviewItem>
      <errorID>169ff4fe-dd51-4308-a88c-79fe4c3eaca6</errorID>
      <errorWord>原住居民</errorWord>
      <group>L1_Sensitive</group>
      <groupName>敏感问题</groupName>
      <ability>L2_Violent</ability>
      <abilityName>暴恐词条</abilityName>
      <candidateList/>
      <explain>【暴恐词条】句中包含暴恐类敏感词条，请注意甄别。</explain>
      <paraID>39A299FD</paraID>
      <start>0</start>
      <end>4</end>
      <status>unmodified</status>
      <modifiedWord/>
      <trackRevisions>false</trackRevisions>
    </reviewItem>
    <reviewItem>
      <errorID>722a395d-88a2-4083-877d-4ba7d347b164</errorID>
      <errorWord>其它可能</errorWord>
      <group>L1_Word</group>
      <groupName>字词问题</groupName>
      <ability>L2_Alias</ability>
      <abilityName>也作/曾用词</abilityName>
      <candidateList>
        <item>其他可能</item>
      </candidateList>
      <explain>词汇[其它可能]为不规范表述或旧称，其规范书面表述为[其他可能]。</explain>
      <paraID>6059A097</paraID>
      <start>40</start>
      <end>44</end>
      <status>unmodified</status>
      <modifiedWord/>
      <trackRevisions>false</trackRevisions>
    </reviewItem>
    <reviewItem>
      <errorID>3bf38db2-9ba4-4f46-886d-2f8380ece06b</errorID>
      <errorWord>中共、中央国务院</errorWord>
      <group>L1_Political</group>
      <groupName>政治性问题</groupName>
      <ability>L2_Keyword</ability>
      <abilityName>固定表述</abilityName>
      <candidateList>
        <item>中共中央、国务院</item>
      </candidateList>
      <explain>注意检查当前固定表述标点是否使用规范。</explain>
      <paraID>1FE7E405</paraID>
      <start>85</start>
      <end>93</end>
      <status>unmodified</status>
      <modifiedWord/>
      <trackRevisions>false</trackRevisions>
    </reviewItem>
    <reviewItem>
      <errorID>aa383eb5-07cc-4e92-9844-78fcbfbb85da</errorID>
      <errorWord>（</errorWord>
      <group>L1_Punc</group>
      <groupName>标点问题</groupName>
      <ability>L2_Punc</ability>
      <abilityName>标点符号检查</abilityName>
      <candidateList/>
      <explain>同一形式括号套用。</explain>
      <paraID>536A3511</paraID>
      <start>95</start>
      <end>96</end>
      <status>unmodified</status>
      <modifiedWord/>
      <trackRevisions>false</trackRevisions>
    </reviewItem>
    <reviewItem>
      <errorID>b6d7c4fb-0b77-4824-b33b-4eeff383761c</errorID>
      <errorWord>）</errorWord>
      <group>L1_Punc</group>
      <groupName>标点问题</groupName>
      <ability>L2_Punc</ability>
      <abilityName>标点符号检查</abilityName>
      <candidateList/>
      <explain>同一形式括号套用。</explain>
      <paraID>536A3511</paraID>
      <start>97</start>
      <end>98</end>
      <status>unmodified</status>
      <modifiedWord/>
      <trackRevisions>false</trackRevisions>
    </reviewItem>
    <reviewItem>
      <errorID>e5b6ebd7-92e7-415d-9244-37858ee04d8b</errorID>
      <errorWord>程</errorWord>
      <group>L1_Word</group>
      <groupName>字词问题</groupName>
      <ability>L2_Typo</ability>
      <abilityName>字词错误</abilityName>
      <candidateList>
        <item>程中</item>
      </candidateList>
      <explain/>
      <paraID> 7855205</paraID>
      <start>40</start>
      <end>41</end>
      <status>unmodified</status>
      <modifiedWord/>
      <trackRevisions>false</trackRevisions>
    </reviewItem>
    <reviewItem>
      <errorID>3543c93e-2bf4-4fe1-8acd-89321c196861</errorID>
      <errorWord>法律、法规</errorWord>
      <group>L1_Word</group>
      <groupName>字词问题</groupName>
      <ability>L2_Typo</ability>
      <abilityName>字词错误</abilityName>
      <candidateList>
        <item>法律法规</item>
      </candidateList>
      <explain/>
      <paraID>27C14433</paraID>
      <start>34</start>
      <end>39</end>
      <status>unmodified</status>
      <modifiedWord/>
      <trackRevisions>false</trackRevisions>
    </reviewItem>
    <reviewItem>
      <errorID>9aabf00a-1851-41ed-ae54-510ec616e7a5</errorID>
      <errorWord>黑</errorWord>
      <group>L1_Word</group>
      <groupName>字词问题</groupName>
      <ability>L2_Typo</ability>
      <abilityName>字词错误</abilityName>
      <candidateList>
        <item>和</item>
      </candidateList>
      <explain>〈量〉用于洗东西换水的次数或一剂药煎的次数：衣裳已经洗了三～｜二～药。</explain>
      <paraID>1F73838F</paraID>
      <start>0</start>
      <end>1</end>
      <status>unmodified</status>
      <modifiedWord/>
      <trackRevisions>false</trackRevisions>
    </reviewItem>
    <reviewItem>
      <errorID>5b8a2bae-7fb3-412c-a371-ccfddb2aa185</errorID>
      <errorWord>黑</errorWord>
      <group>L1_Word</group>
      <groupName>字词问题</groupName>
      <ability>L2_Typo</ability>
      <abilityName>字词错误</abilityName>
      <candidateList>
        <item>和</item>
      </candidateList>
      <explain>〈量〉用于洗东西换水的次数或一剂药煎的次数：衣裳已经洗了三～｜二～药。</explain>
      <paraID>7FDCCA3B</paraID>
      <start>0</start>
      <end>1</end>
      <status>unmodified</status>
      <modifiedWord/>
      <trackRevisions>false</trackRevisions>
    </reviewItem>
    <reviewItem>
      <errorID>0d338626-c516-4dba-b052-d82af1091a2a</errorID>
      <errorWord>3%~8%</errorWord>
      <group>L1_Knowledge</group>
      <groupName>知识性问题</groupName>
      <ability>L2_Knowledge</ability>
      <abilityName>其他知识</abilityName>
      <candidateList>
        <item>3%～8%</item>
      </candidateList>
      <explain>1. “3%~8%”中的单位“%”仅出现在后一个数字上，容易引起歧义；根据《现代汉语标点符号数字用法规范手册》，数字表示范围两边需要使用统一的格式。2. 根据标点国标 4.13 中的规则，数字、时间或地域连接符应使用（视觉上更长的）“—”或“～”。</explain>
      <paraID>724F9322</paraID>
      <start>55</start>
      <end>60</end>
      <status>unmodified</status>
      <modifiedWord/>
      <trackRevisions>false</trackRevisions>
    </reviewItem>
    <reviewItem>
      <errorID>46102437-30dc-4dca-976d-49336f41744d</errorID>
      <errorWord>3%~5%</errorWord>
      <group>L1_Knowledge</group>
      <groupName>知识性问题</groupName>
      <ability>L2_Knowledge</ability>
      <abilityName>其他知识</abilityName>
      <candidateList>
        <item>3%～5%</item>
      </candidateList>
      <explain>1. “3%~5%”中的单位“%”仅出现在后一个数字上，容易引起歧义；根据《现代汉语标点符号数字用法规范手册》，数字表示范围两边需要使用统一的格式。2. 根据标点国标 4.13 中的规则，数字、时间或地域连接符应使用（视觉上更长的）“—”或“～”。</explain>
      <paraID>7B4A5FD5</paraID>
      <start>38</start>
      <end>43</end>
      <status>unmodified</status>
      <modifiedWord/>
      <trackRevisions>false</trackRevisions>
    </reviewItem>
    <reviewItem>
      <errorID>1c071dc3-2bf0-4c1e-a1ee-d2ffeb286db9</errorID>
      <errorWord>，和</errorWord>
      <group>L1_Word</group>
      <groupName>字词问题</groupName>
      <ability>L2_Typo</ability>
      <abilityName>字词错误</abilityName>
      <candidateList>
        <item>，</item>
      </candidateList>
      <explain/>
      <paraID>7B4A5FD5</paraID>
      <start>43</start>
      <end>45</end>
      <status>unmodified</status>
      <modifiedWord/>
      <trackRevisions>false</trackRevisions>
    </reviewItem>
    <reviewItem>
      <errorID>6eb42397-08ea-4981-ad71-b63b5a61ec7f</errorID>
      <errorWord>70-90%</errorWord>
      <group>L1_Knowledge</group>
      <groupName>知识性问题</groupName>
      <ability>L2_Knowledge</ability>
      <abilityName>其他知识</abilityName>
      <candidateList>
        <item>70%—90%</item>
      </candidateList>
      <explain>1. “70-90%”中的单位“%”仅出现在后一个数字上，容易引起歧义；根据《现代汉语标点符号数字用法规范手册》，数字表示范围两边需要使用统一的格式。2. 根据标点国标 4.13 中的规则，数字、时间或地域连接符应使用（视觉上更长的）“—”或“～”。</explain>
      <paraID>178DBE95</paraID>
      <start>18</start>
      <end>24</end>
      <status>unmodified</status>
      <modifiedWord/>
      <trackRevisions>false</trackRevisions>
    </reviewItem>
    <reviewItem>
      <errorID>363fdef1-ea58-45aa-95f6-80ead92c0117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6B2D048</paraID>
      <start>12</start>
      <end>13</end>
      <status>unmodified</status>
      <modifiedWord/>
      <trackRevisions>false</trackRevisions>
    </reviewItem>
    <reviewItem>
      <errorID>9c45bce2-2df5-4fdc-83be-fe0d84c07057</errorID>
      <errorWord>（</errorWord>
      <group>L1_Punc</group>
      <groupName>标点问题</groupName>
      <ability>L2_Punc</ability>
      <abilityName>标点符号检查</abilityName>
      <candidateList/>
      <explain>同一形式括号套用。</explain>
      <paraID>5C9E81C9</paraID>
      <start>50</start>
      <end>51</end>
      <status>unmodified</status>
      <modifiedWord/>
      <trackRevisions>false</trackRevisions>
    </reviewItem>
    <reviewItem>
      <errorID>cc68be0f-a25c-42cd-8657-e4c0927ddff3</errorID>
      <errorWord>）</errorWord>
      <group>L1_Punc</group>
      <groupName>标点问题</groupName>
      <ability>L2_Punc</ability>
      <abilityName>标点符号检查</abilityName>
      <candidateList/>
      <explain>同一形式括号套用。</explain>
      <paraID>5C9E81C9</paraID>
      <start>54</start>
      <end>55</end>
      <status>unmodified</status>
      <modifiedWord/>
      <trackRevisions>false</trackRevisions>
    </reviewItem>
    <reviewItem>
      <errorID>e3b11da3-d8b2-4d7e-a1a8-8ba50873c676</errorID>
      <errorWord>（</errorWord>
      <group>L1_Punc</group>
      <groupName>标点问题</groupName>
      <ability>L2_Punc</ability>
      <abilityName>标点符号检查</abilityName>
      <candidateList/>
      <explain>同一形式括号套用。</explain>
      <paraID>5C9E81C9</paraID>
      <start>56</start>
      <end>57</end>
      <status>unmodified</status>
      <modifiedWord/>
      <trackRevisions>false</trackRevisions>
    </reviewItem>
    <reviewItem>
      <errorID>8679d061-fd3c-4d45-bf3c-6f23c23cd599</errorID>
      <errorWord>）</errorWord>
      <group>L1_Punc</group>
      <groupName>标点问题</groupName>
      <ability>L2_Punc</ability>
      <abilityName>标点符号检查</abilityName>
      <candidateList/>
      <explain>同一形式括号套用。</explain>
      <paraID>5C9E81C9</paraID>
      <start>59</start>
      <end>60</end>
      <status>unmodified</status>
      <modifiedWord/>
      <trackRevisions>false</trackRevisions>
    </reviewItem>
    <reviewItem>
      <errorID>8df8cdff-2703-4392-b008-1b7907292863</errorID>
      <errorWord>主要以工厂企业为主</errorWord>
      <group>L1_Grammar</group>
      <groupName>语法问题</groupName>
      <ability>L2_Grammar</ability>
      <abilityName>语法错误</abilityName>
      <candidateList>
        <item>以工厂企业为主</item>
      </candidateList>
      <explain/>
      <paraID>3DB44B9C</paraID>
      <start>15</start>
      <end>24</end>
      <status>unmodified</status>
      <modifiedWord/>
      <trackRevisions>false</trackRevisions>
    </reviewItem>
    <reviewItem>
      <errorID>e99e95dd-da48-4b7c-bbe9-c6dac2d2cace</errorID>
      <errorWord>污水厂</errorWord>
      <group>L1_Word</group>
      <groupName>字词问题</groupName>
      <ability>L2_Typo</ability>
      <abilityName>字词错误</abilityName>
      <candidateList>
        <item>污水处理厂</item>
      </candidateList>
      <explain/>
      <paraID>35ED411D</paraID>
      <start>32</start>
      <end>35</end>
      <status>unmodified</status>
      <modifiedWord/>
      <trackRevisions>false</trackRevisions>
    </reviewItem>
    <reviewItem>
      <errorID>8db1ab5d-c17f-422c-845b-ed8c848ad81c</errorID>
      <errorWord>～</errorWord>
      <group>L1_Format</group>
      <groupName>格式问题</groupName>
      <ability>L2_HalfPunc</ability>
      <abilityName>全半角检查</abilityName>
      <candidateList>
        <item>~</item>
      </candidateList>
      <explain>文本全半角错误。</explain>
      <paraID>3F6F1320</paraID>
      <start>1</start>
      <end>2</end>
      <status>unmodified</status>
      <modifiedWord/>
      <trackRevisions>false</trackRevisions>
    </reviewItem>
    <reviewItem>
      <errorID>843e8427-6f70-4938-8b55-770910200b20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3400E0EB</paraID>
      <start>126</start>
      <end>127</end>
      <status>unmodified</status>
      <modifiedWord/>
      <trackRevisions>false</trackRevisions>
    </reviewItem>
    <reviewItem>
      <errorID>a58f7ee4-e2ef-4fec-8e66-fdfb2a408ccb</errorID>
      <errorWord>现状现状</errorWord>
      <group>L1_Word</group>
      <groupName>字词问题</groupName>
      <ability>L2_Typo</ability>
      <abilityName>字词错误</abilityName>
      <candidateList>
        <item>现状</item>
      </candidateList>
      <explain/>
      <paraID>5DFB43B4</paraID>
      <start>17</start>
      <end>19</end>
      <status>modified</status>
      <modifiedWord>现状</modifiedWord>
      <trackRevisions>false</trackRevisions>
    </reviewItem>
    <reviewItem>
      <errorID>4db8c560-a04f-44b6-9bd8-a596237b0cb2</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5DFB43B4</paraID>
      <start>25</start>
      <end>26</end>
      <status>unmodified</status>
      <modifiedWord/>
      <trackRevisions>false</trackRevisions>
    </reviewItem>
    <reviewItem>
      <errorID>49fd13b3-3d8b-4e86-a366-2de0aa9e4b1f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4C8CEA47</paraID>
      <start>14</start>
      <end>15</end>
      <status>unmodified</status>
      <modifiedWord/>
      <trackRevisions>false</trackRevisions>
    </reviewItem>
    <reviewItem>
      <errorID>8889560a-d4ec-4ac4-bc8a-b7943cadb8bc</errorID>
      <errorWord>(</errorWord>
      <group>L1_Format</group>
      <groupName>格式问题</groupName>
      <ability>L2_HalfPunc</ability>
      <abilityName>全半角检查</abilityName>
      <candidateList>
        <item>（</item>
      </candidateList>
      <explain>文本全半角错误。</explain>
      <paraID>44AECD4B</paraID>
      <start>11</start>
      <end>12</end>
      <status>unmodified</status>
      <modifiedWord/>
      <trackRevisions>false</trackRevisions>
    </reviewItem>
    <reviewItem>
      <errorID>10bd2c97-38f1-461b-a377-0174f8d897f0</errorID>
      <errorWord>（</errorWord>
      <group>L1_Punc</group>
      <groupName>标点问题</groupName>
      <ability>L2_Punc</ability>
      <abilityName>标点符号检查</abilityName>
      <candidateList/>
      <explain>同一形式括号套用。</explain>
      <paraID>708D5BCB</paraID>
      <start>78</start>
      <end>79</end>
      <status>unmodified</status>
      <modifiedWord/>
      <trackRevisions>false</trackRevisions>
    </reviewItem>
    <reviewItem>
      <errorID>7eaa07d1-d8cb-4234-935e-f03ba711a14f</errorID>
      <errorWord>）</errorWord>
      <group>L1_Punc</group>
      <groupName>标点问题</groupName>
      <ability>L2_Punc</ability>
      <abilityName>标点符号检查</abilityName>
      <candidateList/>
      <explain>同一形式括号套用。</explain>
      <paraID>708D5BCB</paraID>
      <start>94</start>
      <end>95</end>
      <status>unmodified</status>
      <modifiedWord/>
      <trackRevisions>false</trackRevisions>
    </reviewItem>
    <reviewItem>
      <errorID>64e14d1a-8f61-4165-a15e-5f8ac4efc755</errorID>
      <errorWord>～</errorWord>
      <group>L1_Format</group>
      <groupName>格式问题</groupName>
      <ability>L2_HalfPunc</ability>
      <abilityName>全半角检查</abilityName>
      <candidateList>
        <item>~</item>
      </candidateList>
      <explain>文本全半角错误。</explain>
      <paraID>3519AF61</paraID>
      <start>1</start>
      <end>2</end>
      <status>unmodified</status>
      <modifiedWord/>
      <trackRevisions>false</trackRevisions>
    </reviewItem>
    <reviewItem>
      <errorID>4c02e03c-9a78-4d11-99d9-7b0ce5f2936d</errorID>
      <errorWord>（</errorWord>
      <group>L1_Format</group>
      <groupName>格式问题</groupName>
      <ability>L2_HalfPunc</ability>
      <abilityName>全半角检查</abilityName>
      <candidateList>
        <item>(</item>
      </candidateList>
      <explain>文本全半角错误。</explain>
      <paraID>5ADB55FC</paraID>
      <start>2</start>
      <end>3</end>
      <status>unmodified</status>
      <modifiedWord/>
      <trackRevisions>false</trackRevisions>
    </reviewItem>
    <reviewItem>
      <errorID>1306514a-4aa2-475d-b02a-b0c3ddbf6d61</errorID>
      <errorWord>）</errorWord>
      <group>L1_Format</group>
      <groupName>格式问题</groupName>
      <ability>L2_HalfPunc</ability>
      <abilityName>全半角检查</abilityName>
      <candidateList>
        <item>)</item>
      </candidateList>
      <explain>文本全半角错误。</explain>
      <paraID>5ADB55FC</paraID>
      <start>4</start>
      <end>5</end>
      <status>unmodified</status>
      <modifiedWord/>
      <trackRevisions>false</trackRevisions>
    </reviewItem>
    <reviewItem>
      <errorID>e017118e-64bd-4eba-b6ad-70a39f359dfd</errorID>
      <errorWord>核</errorWord>
      <group>L1_Word</group>
      <groupName>字词问题</groupName>
      <ability>L2_Typo</ability>
      <abilityName>字词错误</abilityName>
      <candidateList>
        <item>和</item>
      </candidateList>
      <explain>〈量〉用于洗东西换水的次数或一剂药煎的次数：衣裳已经洗了三～｜二～药。</explain>
      <paraID>7C634CAE</paraID>
      <start>2</start>
      <end>3</end>
      <status>unmodified</status>
      <modifiedWord/>
      <trackRevisions>false</trackRevisions>
    </reviewItem>
    <reviewItem>
      <errorID>3ec09aeb-9a46-400e-9fbf-a54c12796d35</errorID>
      <errorWord>车俩</errorWord>
      <group>L1_Word</group>
      <groupName>字词问题</groupName>
      <ability>L2_Typo</ability>
      <abilityName>字词错误</abilityName>
      <candidateList>
        <item>车辆</item>
      </candidateList>
      <explain>〈名〉各种车的总称。</explain>
      <paraID>48B2121F</paraID>
      <start>67</start>
      <end>69</end>
      <status>modified</status>
      <modifiedWord>车辆</modifiedWord>
      <trackRevisions>false</trackRevisions>
    </reviewItem>
    <reviewItem>
      <errorID>2982d345-6b03-420a-92b5-60c786592d3d</errorID>
      <errorWord>-</errorWord>
      <group>L1_Format</group>
      <groupName>格式问题</groupName>
      <ability>L2_HalfPunc</ability>
      <abilityName>全半角检查</abilityName>
      <candidateList>
        <item>－</item>
      </candidateList>
      <explain>文本全半角错误。</explain>
      <paraID>5FDB3A18</paraID>
      <start>181</start>
      <end>182</end>
      <status>unmodified</status>
      <modifiedWord/>
      <trackRevisions>false</trackRevisions>
    </reviewItem>
    <reviewItem>
      <errorID>4f63d37f-81b9-4984-98fb-6e9790553fe2</errorID>
      <errorWord>溢散</errorWord>
      <group>L1_Word</group>
      <groupName>字词问题</groupName>
      <ability>L2_Typo</ability>
      <abilityName>字词错误</abilityName>
      <candidateList>
        <item>逸散</item>
      </candidateList>
      <explain/>
      <paraID>3211E30E</paraID>
      <start>100</start>
      <end>102</end>
      <status>modified</status>
      <modifiedWord>逸散</modifiedWord>
      <trackRevisions>false</trackRevisions>
    </reviewItem>
    <reviewItem>
      <errorID>c1c97c9d-5bb5-411f-bb26-f2b83d163cf2</errorID>
      <errorWord>-</errorWord>
      <group>L1_Format</group>
      <groupName>格式问题</groupName>
      <ability>L2_HalfPunc</ability>
      <abilityName>全半角检查</abilityName>
      <candidateList>
        <item>－</item>
      </candidateList>
      <explain>文本全半角错误。</explain>
      <paraID>22B5E404</paraID>
      <start>145</start>
      <end>146</end>
      <status>unmodified</status>
      <modifiedWord/>
      <trackRevisions>false</trackRevisions>
    </reviewItem>
    <reviewItem>
      <errorID>23afb62b-62b7-4da8-a0d7-04a0b3a72e8e</errorID>
      <errorWord>-</errorWord>
      <group>L1_Format</group>
      <groupName>格式问题</groupName>
      <ability>L2_HalfPunc</ability>
      <abilityName>全半角检查</abilityName>
      <candidateList>
        <item>－</item>
      </candidateList>
      <explain>文本全半角错误。</explain>
      <paraID>37CEEFCE</paraID>
      <start>206</start>
      <end>207</end>
      <status>unmodified</status>
      <modifiedWord/>
      <trackRevisions>false</trackRevisions>
    </reviewItem>
    <reviewItem>
      <errorID>14cba4a8-4a2e-4807-bd70-269a518829d8</errorID>
      <errorWord>-</errorWord>
      <group>L1_Format</group>
      <groupName>格式问题</groupName>
      <ability>L2_HalfPunc</ability>
      <abilityName>全半角检查</abilityName>
      <candidateList>
        <item>－</item>
      </candidateList>
      <explain>文本全半角错误。</explain>
      <paraID>65A5DEFD</paraID>
      <start>109</start>
      <end>110</end>
      <status>unmodified</status>
      <modifiedWord/>
      <trackRevisions>false</trackRevisions>
    </reviewItem>
    <reviewItem>
      <errorID>2182e18c-2700-41c8-9908-a5ce4417f135</errorID>
      <errorWord>溢散</errorWord>
      <group>L1_Word</group>
      <groupName>字词问题</groupName>
      <ability>L2_Typo</ability>
      <abilityName>字词错误</abilityName>
      <candidateList>
        <item>逸散</item>
      </candidateList>
      <explain>存在发音相同字词的误用。</explain>
      <paraID>5B758A6D</paraID>
      <start>41</start>
      <end>43</end>
      <status>modified</status>
      <modifiedWord>逸散</modifiedWord>
      <trackRevisions>false</trackRevisions>
    </reviewItem>
    <reviewItem>
      <errorID>bd6033bd-addf-4acb-aaa3-3127ddcc69ad</errorID>
      <errorWord>-</errorWord>
      <group>L1_Format</group>
      <groupName>格式问题</groupName>
      <ability>L2_HalfPunc</ability>
      <abilityName>全半角检查</abilityName>
      <candidateList>
        <item>－</item>
      </candidateList>
      <explain>文本全半角错误。</explain>
      <paraID>172C60E2</paraID>
      <start>104</start>
      <end>105</end>
      <status>unmodified</status>
      <modifiedWord/>
      <trackRevisions>false</trackRevisions>
    </reviewItem>
    <reviewItem>
      <errorID>8c1c66ac-9462-4310-8dab-45cf44131717</errorID>
      <errorWord>-</errorWord>
      <group>L1_Format</group>
      <groupName>格式问题</groupName>
      <ability>L2_HalfPunc</ability>
      <abilityName>全半角检查</abilityName>
      <candidateList>
        <item>－</item>
      </candidateList>
      <explain>文本全半角错误。</explain>
      <paraID>179F4F50</paraID>
      <start>91</start>
      <end>92</end>
      <status>unmodified</status>
      <modifiedWord/>
      <trackRevisions>false</trackRevisions>
    </reviewItem>
    <reviewItem>
      <errorID>5b93a67a-f2ee-4986-b0f2-5a75c61c39d8</errorID>
      <errorWord>（</errorWord>
      <group>L1_Punc</group>
      <groupName>标点问题</groupName>
      <ability>L2_Punc</ability>
      <abilityName>标点符号检查</abilityName>
      <candidateList/>
      <explain>同一形式括号套用。</explain>
      <paraID>4B270692</paraID>
      <start>71</start>
      <end>72</end>
      <status>unmodified</status>
      <modifiedWord/>
      <trackRevisions>false</trackRevisions>
    </reviewItem>
    <reviewItem>
      <errorID>e3a12926-a929-4d96-9798-ae31de312367</errorID>
      <errorWord>）</errorWord>
      <group>L1_Punc</group>
      <groupName>标点问题</groupName>
      <ability>L2_Punc</ability>
      <abilityName>标点符号检查</abilityName>
      <candidateList/>
      <explain>同一形式括号套用。</explain>
      <paraID>4B270692</paraID>
      <start>86</start>
      <end>87</end>
      <status>unmodified</status>
      <modifiedWord/>
      <trackRevisions>false</trackRevisions>
    </reviewItem>
    <reviewItem>
      <errorID>d42ac679-b242-49f4-9324-233c7f27b2d9</errorID>
      <errorWord>：</errorWord>
      <group>L1_Format</group>
      <groupName>格式问题</groupName>
      <ability>L2_HalfPunc</ability>
      <abilityName>全半角检查</abilityName>
      <candidateList>
        <item>:</item>
      </candidateList>
      <explain>文本全半角错误。</explain>
      <paraID>4B270692</paraID>
      <start>176</start>
      <end>177</end>
      <status>unmodified</status>
      <modifiedWord/>
      <trackRevisions>false</trackRevisions>
    </reviewItem>
    <reviewItem>
      <errorID>25a6eeb6-14f6-4067-a66d-1b77a4d76a82</errorID>
      <errorWord>要求后</errorWord>
      <group>L1_Word</group>
      <groupName>字词问题</groupName>
      <ability>L2_Typo</ability>
      <abilityName>字词错误</abilityName>
      <candidateList>
        <item>要求</item>
      </candidateList>
      <explain>❶〈动〉提出具体愿望或条件，希望得到满足或实现：～转学｜～进步｜严格～自己。❷〈名〉所提出的具体愿望或条件：满足了他的～｜符合规定的～。</explain>
      <paraID>282F7C4F</paraID>
      <start>69</start>
      <end>71</end>
      <status>modified</status>
      <modifiedWord>要求</modifiedWord>
      <trackRevisions>false</trackRevisions>
    </reviewItem>
    <reviewItem>
      <errorID>a668bd79-374d-492b-8979-d119508e938f</errorID>
      <errorWord>-</errorWord>
      <group>L1_Format</group>
      <groupName>格式问题</groupName>
      <ability>L2_HalfPunc</ability>
      <abilityName>全半角检查</abilityName>
      <candidateList>
        <item>－</item>
      </candidateList>
      <explain>文本全半角错误。</explain>
      <paraID>613DE3DF</paraID>
      <start>59</start>
      <end>60</end>
      <status>unmodified</status>
      <modifiedWord/>
      <trackRevisions>false</trackRevisions>
    </reviewItem>
    <reviewItem>
      <errorID>e70dac94-2c42-45ee-a20b-887f1bae1112</errorID>
      <errorWord>（</errorWord>
      <group>L1_Format</group>
      <groupName>格式问题</groupName>
      <ability>L2_HalfPunc</ability>
      <abilityName>全半角检查</abilityName>
      <candidateList>
        <item>(</item>
      </candidateList>
      <explain>文本全半角错误。</explain>
      <paraID>654D84BE</paraID>
      <start>0</start>
      <end>1</end>
      <status>unmodified</status>
      <modifiedWord/>
      <trackRevisions>false</trackRevisions>
    </reviewItem>
    <reviewItem>
      <errorID>c64e42b1-84cb-415d-b72b-c6b644385818</errorID>
      <errorWord>）</errorWord>
      <group>L1_Format</group>
      <groupName>格式问题</groupName>
      <ability>L2_HalfPunc</ability>
      <abilityName>全半角检查</abilityName>
      <candidateList>
        <item>)</item>
      </candidateList>
      <explain>文本全半角错误。</explain>
      <paraID>654D84BE</paraID>
      <start>4</start>
      <end>5</end>
      <status>unmodified</status>
      <modifiedWord/>
      <trackRevisions>false</trackRevisions>
    </reviewItem>
    <reviewItem>
      <errorID>60981d85-c715-4e54-a47a-91ad3155cd9d</errorID>
      <errorWord>护</errorWord>
      <group>L1_Word</group>
      <groupName>字词问题</groupName>
      <ability>L2_Typo</ability>
      <abilityName>字词错误</abilityName>
      <candidateList>
        <item>护和</item>
      </candidateList>
      <explain/>
      <paraID>23D7E964</paraID>
      <start>62</start>
      <end>64</end>
      <status>modified</status>
      <modifiedWord>护和</modifiedWord>
      <trackRevisions>false</trackRevisions>
    </reviewItem>
    <reviewItem>
      <errorID>2642a625-dccc-4b7d-b0d1-9a69edba521d</errorID>
      <errorWord>，</errorWord>
      <group>L1_Format</group>
      <groupName>格式问题</groupName>
      <ability>L2_HalfPunc</ability>
      <abilityName>全半角检查</abilityName>
      <candidateList>
        <item>,</item>
      </candidateList>
      <explain>文本全半角错误。</explain>
      <paraID> DFD143E</paraID>
      <start>12</start>
      <end>13</end>
      <status>unmodified</status>
      <modifiedWord/>
      <trackRevisions>false</trackRevisions>
    </reviewItem>
    <reviewItem>
      <errorID>fd501b16-ec29-4967-b55c-47b4ed64db09</errorID>
      <errorWord>，</errorWord>
      <group>L1_Format</group>
      <groupName>格式问题</groupName>
      <ability>L2_HalfPunc</ability>
      <abilityName>全半角检查</abilityName>
      <candidateList>
        <item>, </item>
      </candidateList>
      <explain>文本全半角错误。</explain>
      <paraID>4D6E0CA0</paraID>
      <start>12</start>
      <end>13</end>
      <status>unmodified</status>
      <modifiedWord/>
      <trackRevisions>false</trackRevisions>
    </reviewItem>
    <reviewItem>
      <errorID>7a584692-0fdd-4e14-874c-06ec5e79f9f0</errorID>
      <errorWord>（</errorWord>
      <group>L1_Punc</group>
      <groupName>标点问题</groupName>
      <ability>L2_Punc</ability>
      <abilityName>标点符号检查</abilityName>
      <candidateList/>
      <explain>同一形式括号套用。</explain>
      <paraID>4CF40BEB</paraID>
      <start>45</start>
      <end>46</end>
      <status>unmodified</status>
      <modifiedWord/>
      <trackRevisions>false</trackRevisions>
    </reviewItem>
    <reviewItem>
      <errorID>1be4e927-33ab-47c8-b1db-fb39ef425468</errorID>
      <errorWord>）</errorWord>
      <group>L1_Punc</group>
      <groupName>标点问题</groupName>
      <ability>L2_Punc</ability>
      <abilityName>标点符号检查</abilityName>
      <candidateList/>
      <explain>同一形式括号套用。</explain>
      <paraID>4CF40BEB</paraID>
      <start>47</start>
      <end>48</end>
      <status>unmodified</status>
      <modifiedWord/>
      <trackRevisions>false</trackRevisions>
    </reviewItem>
    <reviewItem>
      <errorID>8f426dc6-2651-41b1-9e80-d8a2e7c499c8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70FA2445</paraID>
      <start>0</start>
      <end>2</end>
      <status>unmodified</status>
      <modifiedWord/>
      <trackRevisions>false</trackRevisions>
    </reviewItem>
    <reviewItem>
      <errorID>07b1623e-f0a7-4b85-9a91-d722e68851b1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2A80C504</paraID>
      <start>0</start>
      <end>2</end>
      <status>unmodified</status>
      <modifiedWord/>
      <trackRevisions>false</trackRevisions>
    </reviewItem>
    <reviewItem>
      <errorID>a36cbdba-cf9a-4a83-89bf-262c3f5e0f3f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4D330A66</paraID>
      <start>0</start>
      <end>2</end>
      <status>unmodified</status>
      <modifiedWord/>
      <trackRevisions>false</trackRevisions>
    </reviewItem>
    <reviewItem>
      <errorID>4e212d33-218c-4071-8edd-281aaaed85b0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70852F72</paraID>
      <start>0</start>
      <end>2</end>
      <status>unmodified</status>
      <modifiedWord/>
      <trackRevisions>false</trackRevisions>
    </reviewItem>
    <reviewItem>
      <errorID>c8190e82-0650-4fb6-b037-49105071e4b7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3B7903F8</paraID>
      <start>0</start>
      <end>2</end>
      <status>unmodified</status>
      <modifiedWord/>
      <trackRevisions>false</trackRevisions>
    </reviewItem>
    <reviewItem>
      <errorID>1437b144-b9a1-4276-a5a0-882cea8626f3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224207F5</paraID>
      <start>0</start>
      <end>2</end>
      <status>unmodified</status>
      <modifiedWord/>
      <trackRevisions>false</trackRevisions>
    </reviewItem>
    <reviewItem>
      <errorID>a085f8ce-1168-4434-a07d-4aa3f78ec287</errorID>
      <errorWord>，</errorWord>
      <group>L1_Word</group>
      <groupName>字词问题</groupName>
      <ability>L2_Typo</ability>
      <abilityName>字词错误</abilityName>
      <candidateList>
        <item>，在</item>
      </candidateList>
      <explain/>
      <paraID> 5E2C986</paraID>
      <start>143</start>
      <end>145</end>
      <status>modified</status>
      <modifiedWord>，在</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eb9960e-2223-4c72-b2ce-f3a4253e8217}">
  <ds:schemaRefs/>
</ds:datastoreItem>
</file>

<file path=docProps/app.xml><?xml version="1.0" encoding="utf-8"?>
<Properties xmlns="http://schemas.openxmlformats.org/officeDocument/2006/extended-properties" xmlns:vt="http://schemas.openxmlformats.org/officeDocument/2006/docPropsVTypes">
  <Template>wdzx97</Template>
  <Company>Microsoft</Company>
  <Pages>65</Pages>
  <Words>93</Words>
  <Characters>97</Characters>
  <Lines>271</Lines>
  <Paragraphs>76</Paragraphs>
  <TotalTime>3</TotalTime>
  <ScaleCrop>false</ScaleCrop>
  <LinksUpToDate>false</LinksUpToDate>
  <CharactersWithSpaces>98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2025-12-12T15:06:00Z</dcterms:created>
  <dc:creator>lhj</dc:creator>
  <cp:lastModifiedBy>微微一笑</cp:lastModifiedBy>
  <cp:lastPrinted>2026-03-03T03:14:00Z</cp:lastPrinted>
  <dcterms:modified xsi:type="dcterms:W3CDTF">2026-03-04T07:16:36Z</dcterms:modified>
  <dc:title>附件2</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SaveFontToCloudKey">
    <vt:lpwstr>304389065_btnclosed</vt:lpwstr>
  </property>
  <property fmtid="{D5CDD505-2E9C-101B-9397-08002B2CF9AE}" pid="4" name="ICV">
    <vt:lpwstr>E08F9589162E45F8B310BEB4126101A3_13</vt:lpwstr>
  </property>
  <property fmtid="{D5CDD505-2E9C-101B-9397-08002B2CF9AE}" pid="5" name="commondata">
    <vt:lpwstr>eyJoZGlkIjoiMjE2ZTYwOGMyNWZiYjFlMzJkODUzYjQ5OTU4MmQxODYifQ==</vt:lpwstr>
  </property>
  <property fmtid="{D5CDD505-2E9C-101B-9397-08002B2CF9AE}" pid="6" name="KSOTemplateDocerSaveRecord">
    <vt:lpwstr>eyJoZGlkIjoiYmZkMTMxMjAwYjEyMGIwZGI4OTUwZjM1ZTRlOTAxMzkiLCJ1c2VySWQiOiI3MDcxMzA4NjcifQ==</vt:lpwstr>
  </property>
</Properties>
</file>